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22" w:firstLineChars="100"/>
        <w:rPr>
          <w:rFonts w:ascii="方正小标宋简体" w:eastAsia="方正小标宋简体"/>
          <w:b/>
          <w:color w:val="FF0000"/>
          <w:sz w:val="52"/>
          <w:szCs w:val="52"/>
        </w:rPr>
      </w:pPr>
      <w:r>
        <w:rPr>
          <w:rFonts w:hint="eastAsia" w:ascii="方正小标宋简体" w:eastAsia="方正小标宋简体"/>
          <w:b/>
          <w:color w:val="FF0000"/>
          <w:sz w:val="52"/>
          <w:szCs w:val="52"/>
        </w:rPr>
        <w:t>中山大学材料科学与工程学院</w:t>
      </w:r>
    </w:p>
    <w:p>
      <w:pPr>
        <w:rPr>
          <w:rFonts w:ascii="仿宋" w:hAnsi="仿宋" w:eastAsia="仿宋"/>
          <w:sz w:val="32"/>
          <w:szCs w:val="32"/>
        </w:rPr>
      </w:pPr>
      <w:r>
        <w:rPr>
          <w:b/>
          <w:color w:val="FF0000"/>
          <w:sz w:val="32"/>
          <w:szCs w:val="32"/>
        </w:rPr>
        <mc:AlternateContent>
          <mc:Choice Requires="wpg">
            <w:drawing>
              <wp:anchor distT="0" distB="0" distL="114300" distR="114300" simplePos="0" relativeHeight="251659264" behindDoc="0" locked="0" layoutInCell="1" allowOverlap="1">
                <wp:simplePos x="0" y="0"/>
                <wp:positionH relativeFrom="column">
                  <wp:posOffset>-50800</wp:posOffset>
                </wp:positionH>
                <wp:positionV relativeFrom="paragraph">
                  <wp:posOffset>142240</wp:posOffset>
                </wp:positionV>
                <wp:extent cx="5295900" cy="50800"/>
                <wp:effectExtent l="0" t="19050" r="19050" b="25400"/>
                <wp:wrapNone/>
                <wp:docPr id="1" name="组合 1"/>
                <wp:cNvGraphicFramePr/>
                <a:graphic xmlns:a="http://schemas.openxmlformats.org/drawingml/2006/main">
                  <a:graphicData uri="http://schemas.microsoft.com/office/word/2010/wordprocessingGroup">
                    <wpg:wgp>
                      <wpg:cNvGrpSpPr/>
                      <wpg:grpSpPr>
                        <a:xfrm>
                          <a:off x="0" y="0"/>
                          <a:ext cx="5295900" cy="50800"/>
                          <a:chOff x="754" y="3190"/>
                          <a:chExt cx="9693" cy="80"/>
                        </a:xfrm>
                      </wpg:grpSpPr>
                      <wps:wsp>
                        <wps:cNvPr id="2" name="Line 3"/>
                        <wps:cNvCnPr/>
                        <wps:spPr bwMode="auto">
                          <a:xfrm>
                            <a:off x="754" y="3190"/>
                            <a:ext cx="9693" cy="0"/>
                          </a:xfrm>
                          <a:prstGeom prst="line">
                            <a:avLst/>
                          </a:prstGeom>
                          <a:noFill/>
                          <a:ln w="28575">
                            <a:solidFill>
                              <a:srgbClr val="FF0000"/>
                            </a:solidFill>
                            <a:round/>
                          </a:ln>
                        </wps:spPr>
                        <wps:bodyPr/>
                      </wps:wsp>
                      <wps:wsp>
                        <wps:cNvPr id="3" name="Line 4"/>
                        <wps:cNvCnPr/>
                        <wps:spPr bwMode="auto">
                          <a:xfrm>
                            <a:off x="754" y="3270"/>
                            <a:ext cx="9693" cy="0"/>
                          </a:xfrm>
                          <a:prstGeom prst="line">
                            <a:avLst/>
                          </a:prstGeom>
                          <a:noFill/>
                          <a:ln w="9525">
                            <a:solidFill>
                              <a:srgbClr val="FF0000"/>
                            </a:solidFill>
                            <a:round/>
                          </a:ln>
                        </wps:spPr>
                        <wps:bodyPr/>
                      </wps:wsp>
                    </wpg:wgp>
                  </a:graphicData>
                </a:graphic>
              </wp:anchor>
            </w:drawing>
          </mc:Choice>
          <mc:Fallback>
            <w:pict>
              <v:group id="_x0000_s1026" o:spid="_x0000_s1026" o:spt="203" style="position:absolute;left:0pt;margin-left:-4pt;margin-top:11.2pt;height:4pt;width:417pt;z-index:251659264;mso-width-relative:page;mso-height-relative:page;" coordorigin="754,3190" coordsize="9693,80" o:gfxdata="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Pisn6PZAAAACAEAAA8AAAAAAAAAAQAgAAAA&#10;IgAAAGRycy9kb3ducmV2LnhtbFBLAQIUABQAAAAIAIdO4kBwj+vnQwIAAC0GAAAOAAAAAAAAAAEA&#10;IAAAACgBAABkcnMvZTJvRG9jLnhtbFBLBQYAAAAABgAGAFkBAADdBQAAAAA=&#10;">
                <o:lock v:ext="edit" aspectratio="f"/>
                <v:line id="Line 3" o:spid="_x0000_s1026" o:spt="20" style="position:absolute;left:754;top:3190;height:0;width:9693;" filled="f" stroked="t" coordsize="21600,21600" o:gfxdata="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uravMvQAA&#10;ANoAAAAPAAAAAAAAAAEAIAAAACIAAABkcnMvZG93bnJldi54bWxQSwECFAAUAAAACACHTuJAMy8F&#10;njsAAAA5AAAAEAAAAAAAAAABACAAAAAMAQAAZHJzL3NoYXBleG1sLnhtbFBLBQYAAAAABgAGAFsB&#10;AAC2AwAAAAA=&#10;">
                  <v:fill on="f" focussize="0,0"/>
                  <v:stroke weight="2.25pt" color="#FF0000" joinstyle="round"/>
                  <v:imagedata o:title=""/>
                  <o:lock v:ext="edit" aspectratio="f"/>
                </v:line>
                <v:line id="Line 4" o:spid="_x0000_s1026" o:spt="20" style="position:absolute;left:754;top:3270;height:0;width:9693;" filled="f" stroked="t" coordsize="21600,21600" o:gfxdata="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CBMWi8AAAA&#10;2gAAAA8AAAAAAAAAAQAgAAAAIgAAAGRycy9kb3ducmV2LnhtbFBLAQIUABQAAAAIAIdO4kAzLwWe&#10;OwAAADkAAAAQAAAAAAAAAAEAIAAAAAsBAABkcnMvc2hhcGV4bWwueG1sUEsFBgAAAAAGAAYAWwEA&#10;ALUDAAAAAA==&#10;">
                  <v:fill on="f" focussize="0,0"/>
                  <v:stroke color="#FF0000" joinstyle="round"/>
                  <v:imagedata o:title=""/>
                  <o:lock v:ext="edit" aspectratio="f"/>
                </v:line>
              </v:group>
            </w:pict>
          </mc:Fallback>
        </mc:AlternateContent>
      </w:r>
    </w:p>
    <w:p>
      <w:pPr>
        <w:rPr>
          <w:b/>
          <w:color w:val="FF0000"/>
          <w:sz w:val="32"/>
          <w:szCs w:val="32"/>
        </w:rPr>
      </w:pPr>
      <w:r>
        <w:rPr>
          <w:rFonts w:hint="eastAsia" w:ascii="仿宋" w:hAnsi="仿宋" w:eastAsia="仿宋"/>
          <w:sz w:val="32"/>
          <w:szCs w:val="32"/>
        </w:rPr>
        <w:t xml:space="preserve">                            </w:t>
      </w:r>
      <w:r>
        <w:rPr>
          <w:rFonts w:ascii="仿宋" w:hAnsi="仿宋" w:eastAsia="仿宋"/>
          <w:sz w:val="32"/>
          <w:szCs w:val="32"/>
        </w:rPr>
        <w:t xml:space="preserve">    </w:t>
      </w:r>
      <w:r>
        <w:rPr>
          <w:rFonts w:hint="eastAsia" w:ascii="仿宋" w:hAnsi="仿宋" w:eastAsia="仿宋"/>
          <w:sz w:val="32"/>
          <w:szCs w:val="32"/>
        </w:rPr>
        <w:t>材料学工【2018】1号</w:t>
      </w:r>
    </w:p>
    <w:p>
      <w:pPr>
        <w:tabs>
          <w:tab w:val="left" w:pos="8222"/>
        </w:tabs>
        <w:spacing w:line="560" w:lineRule="exact"/>
        <w:ind w:firstLine="361" w:firstLineChars="100"/>
        <w:rPr>
          <w:rFonts w:ascii="方正小标宋简体" w:hAnsi="仿宋" w:eastAsia="方正小标宋简体"/>
          <w:b/>
          <w:color w:val="000000" w:themeColor="text1"/>
          <w:sz w:val="36"/>
          <w:szCs w:val="36"/>
          <w14:textFill>
            <w14:solidFill>
              <w14:schemeClr w14:val="tx1"/>
            </w14:solidFill>
          </w14:textFill>
        </w:rPr>
      </w:pPr>
      <w:r>
        <w:rPr>
          <w:rFonts w:hint="eastAsia" w:ascii="方正小标宋简体" w:hAnsi="仿宋" w:eastAsia="方正小标宋简体"/>
          <w:b/>
          <w:color w:val="000000" w:themeColor="text1"/>
          <w:sz w:val="36"/>
          <w:szCs w:val="36"/>
          <w14:textFill>
            <w14:solidFill>
              <w14:schemeClr w14:val="tx1"/>
            </w14:solidFill>
          </w14:textFill>
        </w:rPr>
        <w:t>材料科学与工</w:t>
      </w:r>
      <w:bookmarkStart w:id="2" w:name="_GoBack"/>
      <w:bookmarkEnd w:id="2"/>
      <w:r>
        <w:rPr>
          <w:rFonts w:hint="eastAsia" w:ascii="方正小标宋简体" w:hAnsi="仿宋" w:eastAsia="方正小标宋简体"/>
          <w:b/>
          <w:color w:val="000000" w:themeColor="text1"/>
          <w:sz w:val="36"/>
          <w:szCs w:val="36"/>
          <w14:textFill>
            <w14:solidFill>
              <w14:schemeClr w14:val="tx1"/>
            </w14:solidFill>
          </w14:textFill>
        </w:rPr>
        <w:t>程学院</w:t>
      </w:r>
      <w:r>
        <w:rPr>
          <w:rFonts w:ascii="方正小标宋简体" w:hAnsi="仿宋" w:eastAsia="方正小标宋简体"/>
          <w:b/>
          <w:color w:val="000000" w:themeColor="text1"/>
          <w:sz w:val="36"/>
          <w:szCs w:val="36"/>
          <w14:textFill>
            <w14:solidFill>
              <w14:schemeClr w14:val="tx1"/>
            </w14:solidFill>
          </w14:textFill>
        </w:rPr>
        <w:t>研究生</w:t>
      </w:r>
      <w:r>
        <w:rPr>
          <w:rFonts w:hint="eastAsia" w:ascii="方正小标宋简体" w:hAnsi="仿宋" w:eastAsia="方正小标宋简体"/>
          <w:b/>
          <w:color w:val="000000" w:themeColor="text1"/>
          <w:sz w:val="36"/>
          <w:szCs w:val="36"/>
          <w14:textFill>
            <w14:solidFill>
              <w14:schemeClr w14:val="tx1"/>
            </w14:solidFill>
          </w14:textFill>
        </w:rPr>
        <w:t>奖学金评选实施</w:t>
      </w:r>
      <w:r>
        <w:rPr>
          <w:rFonts w:ascii="方正小标宋简体" w:hAnsi="仿宋" w:eastAsia="方正小标宋简体"/>
          <w:b/>
          <w:color w:val="000000" w:themeColor="text1"/>
          <w:sz w:val="36"/>
          <w:szCs w:val="36"/>
          <w14:textFill>
            <w14:solidFill>
              <w14:schemeClr w14:val="tx1"/>
            </w14:solidFill>
          </w14:textFill>
        </w:rPr>
        <w:t>细则</w:t>
      </w:r>
    </w:p>
    <w:p>
      <w:pPr>
        <w:tabs>
          <w:tab w:val="left" w:pos="8222"/>
        </w:tabs>
        <w:spacing w:line="560" w:lineRule="exact"/>
        <w:ind w:firstLine="2811" w:firstLineChars="1000"/>
        <w:rPr>
          <w:rFonts w:ascii="方正小标宋简体" w:hAnsi="仿宋" w:eastAsia="方正小标宋简体"/>
          <w:b/>
          <w:color w:val="000000" w:themeColor="text1"/>
          <w:sz w:val="28"/>
          <w:szCs w:val="28"/>
          <w14:textFill>
            <w14:solidFill>
              <w14:schemeClr w14:val="tx1"/>
            </w14:solidFill>
          </w14:textFill>
        </w:rPr>
      </w:pPr>
      <w:r>
        <w:rPr>
          <w:rFonts w:hint="eastAsia" w:ascii="方正小标宋简体" w:hAnsi="仿宋" w:eastAsia="方正小标宋简体"/>
          <w:b/>
          <w:color w:val="000000" w:themeColor="text1"/>
          <w:sz w:val="28"/>
          <w:szCs w:val="28"/>
          <w14:textFill>
            <w14:solidFill>
              <w14:schemeClr w14:val="tx1"/>
            </w14:solidFill>
          </w14:textFill>
        </w:rPr>
        <w:t>（2018年修订）</w:t>
      </w:r>
    </w:p>
    <w:p>
      <w:pPr>
        <w:spacing w:line="560" w:lineRule="exact"/>
        <w:ind w:right="640"/>
        <w:rPr>
          <w:rFonts w:ascii="仿宋" w:hAnsi="仿宋" w:eastAsia="仿宋"/>
          <w:color w:val="000000" w:themeColor="text1"/>
          <w:sz w:val="28"/>
          <w14:textFill>
            <w14:solidFill>
              <w14:schemeClr w14:val="tx1"/>
            </w14:solidFill>
          </w14:textFill>
        </w:rPr>
      </w:pPr>
    </w:p>
    <w:p>
      <w:pPr>
        <w:spacing w:line="560" w:lineRule="exact"/>
        <w:ind w:firstLine="640" w:firstLineChars="200"/>
        <w:rPr>
          <w:rFonts w:ascii="仿宋" w:hAnsi="仿宋" w:eastAsia="仿宋"/>
          <w:color w:val="000000" w:themeColor="text1"/>
          <w:sz w:val="32"/>
          <w:szCs w:val="32"/>
          <w14:textFill>
            <w14:solidFill>
              <w14:schemeClr w14:val="tx1"/>
            </w14:solidFill>
          </w14:textFill>
        </w:rPr>
      </w:pPr>
      <w:r>
        <w:rPr>
          <w:rFonts w:ascii="仿宋" w:hAnsi="仿宋" w:eastAsia="仿宋"/>
          <w:color w:val="000000" w:themeColor="text1"/>
          <w:sz w:val="32"/>
          <w:szCs w:val="32"/>
          <w14:textFill>
            <w14:solidFill>
              <w14:schemeClr w14:val="tx1"/>
            </w14:solidFill>
          </w14:textFill>
        </w:rPr>
        <w:t>为</w:t>
      </w:r>
      <w:r>
        <w:rPr>
          <w:rFonts w:hint="eastAsia" w:ascii="仿宋" w:hAnsi="仿宋" w:eastAsia="仿宋"/>
          <w:color w:val="000000" w:themeColor="text1"/>
          <w:sz w:val="32"/>
          <w:szCs w:val="32"/>
          <w14:textFill>
            <w14:solidFill>
              <w14:schemeClr w14:val="tx1"/>
            </w14:solidFill>
          </w14:textFill>
        </w:rPr>
        <w:t>激励我院研究生勤奋学习、潜心科研、勇于创新、积极进取，按照</w:t>
      </w:r>
      <w:r>
        <w:rPr>
          <w:rFonts w:hint="eastAsia" w:ascii="仿宋" w:hAnsi="仿宋" w:eastAsia="仿宋"/>
          <w:sz w:val="32"/>
          <w:szCs w:val="32"/>
        </w:rPr>
        <w:t>《中山大学研究生优秀奖学金评定办法》，以及学校关于研究生各项奖学金评审工作通知等规定，</w:t>
      </w:r>
      <w:r>
        <w:rPr>
          <w:rFonts w:hint="eastAsia" w:ascii="仿宋" w:hAnsi="仿宋" w:eastAsia="仿宋"/>
          <w:color w:val="000000" w:themeColor="text1"/>
          <w:sz w:val="32"/>
          <w:szCs w:val="32"/>
          <w14:textFill>
            <w14:solidFill>
              <w14:schemeClr w14:val="tx1"/>
            </w14:solidFill>
          </w14:textFill>
        </w:rPr>
        <w:t>结合学院实际情况，特制定本细则。</w:t>
      </w:r>
    </w:p>
    <w:p>
      <w:pPr>
        <w:pStyle w:val="5"/>
        <w:spacing w:line="560" w:lineRule="exact"/>
        <w:jc w:val="both"/>
      </w:pPr>
      <w:r>
        <w:rPr>
          <w:rFonts w:hint="eastAsia"/>
        </w:rPr>
        <w:t>第一章 总则</w:t>
      </w:r>
    </w:p>
    <w:p>
      <w:pPr>
        <w:spacing w:line="560" w:lineRule="exact"/>
        <w:ind w:firstLine="643"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b/>
          <w:color w:val="000000" w:themeColor="text1"/>
          <w:sz w:val="32"/>
          <w:szCs w:val="32"/>
          <w14:textFill>
            <w14:solidFill>
              <w14:schemeClr w14:val="tx1"/>
            </w14:solidFill>
          </w14:textFill>
        </w:rPr>
        <w:t>第一条</w:t>
      </w:r>
      <w:r>
        <w:rPr>
          <w:rFonts w:hint="eastAsia" w:ascii="仿宋" w:hAnsi="仿宋" w:eastAsia="仿宋"/>
          <w:color w:val="000000" w:themeColor="text1"/>
          <w:sz w:val="32"/>
          <w:szCs w:val="32"/>
          <w14:textFill>
            <w14:solidFill>
              <w14:schemeClr w14:val="tx1"/>
            </w14:solidFill>
          </w14:textFill>
        </w:rPr>
        <w:t xml:space="preserve">  本细则旨在规范学院研究生奖学金评定工作，做到程序规范、内容全面、标准客观、结果公正。</w:t>
      </w:r>
    </w:p>
    <w:p>
      <w:pPr>
        <w:spacing w:line="560" w:lineRule="exact"/>
        <w:ind w:firstLine="643"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b/>
          <w:color w:val="000000" w:themeColor="text1"/>
          <w:sz w:val="32"/>
          <w:szCs w:val="32"/>
          <w14:textFill>
            <w14:solidFill>
              <w14:schemeClr w14:val="tx1"/>
            </w14:solidFill>
          </w14:textFill>
        </w:rPr>
        <w:t>第二条</w:t>
      </w:r>
      <w:r>
        <w:rPr>
          <w:rFonts w:hint="eastAsia" w:ascii="仿宋" w:hAnsi="仿宋" w:eastAsia="仿宋"/>
          <w:color w:val="000000" w:themeColor="text1"/>
          <w:sz w:val="32"/>
          <w:szCs w:val="32"/>
          <w14:textFill>
            <w14:solidFill>
              <w14:schemeClr w14:val="tx1"/>
            </w14:solidFill>
          </w14:textFill>
        </w:rPr>
        <w:t xml:space="preserve">  本细则适用于学院研究生评定以下奖学金：</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1.研究生国家奖学金</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2.中山大学优秀研究生奖学金</w:t>
      </w:r>
    </w:p>
    <w:p>
      <w:pPr>
        <w:spacing w:line="560" w:lineRule="exact"/>
        <w:ind w:firstLine="640" w:firstLineChars="200"/>
      </w:pPr>
      <w:r>
        <w:rPr>
          <w:rFonts w:ascii="仿宋" w:hAnsi="仿宋" w:eastAsia="仿宋"/>
          <w:sz w:val="32"/>
          <w:szCs w:val="32"/>
        </w:rPr>
        <w:t>3</w:t>
      </w:r>
      <w:r>
        <w:rPr>
          <w:rFonts w:hint="eastAsia" w:ascii="仿宋" w:hAnsi="仿宋" w:eastAsia="仿宋"/>
          <w:sz w:val="32"/>
          <w:szCs w:val="32"/>
        </w:rPr>
        <w:t>.捐赠奖学金</w:t>
      </w:r>
    </w:p>
    <w:p>
      <w:pPr>
        <w:pStyle w:val="5"/>
        <w:spacing w:line="560" w:lineRule="exact"/>
        <w:jc w:val="both"/>
      </w:pPr>
      <w:r>
        <w:rPr>
          <w:rFonts w:hint="eastAsia"/>
        </w:rPr>
        <w:t>第二章 评审组织</w:t>
      </w:r>
    </w:p>
    <w:p>
      <w:pPr>
        <w:spacing w:line="560" w:lineRule="exact"/>
        <w:ind w:firstLine="643" w:firstLineChars="200"/>
        <w:rPr>
          <w:rFonts w:ascii="仿宋" w:hAnsi="仿宋" w:eastAsia="仿宋"/>
          <w:sz w:val="32"/>
          <w:szCs w:val="32"/>
        </w:rPr>
      </w:pPr>
      <w:r>
        <w:rPr>
          <w:rFonts w:hint="eastAsia" w:ascii="仿宋" w:hAnsi="仿宋" w:eastAsia="仿宋"/>
          <w:b/>
          <w:color w:val="000000" w:themeColor="text1"/>
          <w:sz w:val="32"/>
          <w:szCs w:val="32"/>
          <w14:textFill>
            <w14:solidFill>
              <w14:schemeClr w14:val="tx1"/>
            </w14:solidFill>
          </w14:textFill>
        </w:rPr>
        <w:t xml:space="preserve">第三条 </w:t>
      </w:r>
      <w:r>
        <w:rPr>
          <w:rFonts w:ascii="仿宋" w:hAnsi="仿宋" w:eastAsia="仿宋"/>
          <w:b/>
          <w:color w:val="000000" w:themeColor="text1"/>
          <w:sz w:val="32"/>
          <w:szCs w:val="32"/>
          <w14:textFill>
            <w14:solidFill>
              <w14:schemeClr w14:val="tx1"/>
            </w14:solidFill>
          </w14:textFill>
        </w:rPr>
        <w:t xml:space="preserve"> </w:t>
      </w:r>
      <w:r>
        <w:rPr>
          <w:rFonts w:hint="eastAsia" w:ascii="仿宋" w:hAnsi="仿宋" w:eastAsia="仿宋"/>
          <w:sz w:val="32"/>
          <w:szCs w:val="32"/>
        </w:rPr>
        <w:t>学院成立研究生奖学金评审委员会，负责统筹领导、协调、监督我院评审工作，处理学生对评审结果的异议等。同时，组织研究生奖学金答辩会评审专家小组，协助学院研究生奖学金评审委员会开展工作。</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研究生奖学金评审委员会成员由院长、主管研究生工作的副院长、党委（党总支）书记或副书记、导师代表、学生代表组成。其中，导师代表应不少于3名。</w:t>
      </w:r>
    </w:p>
    <w:p>
      <w:pPr>
        <w:pStyle w:val="5"/>
        <w:spacing w:line="560" w:lineRule="exact"/>
        <w:jc w:val="both"/>
      </w:pPr>
      <w:r>
        <w:rPr>
          <w:rFonts w:hint="eastAsia"/>
        </w:rPr>
        <w:t>第三章奖励名额、参评资格</w:t>
      </w:r>
    </w:p>
    <w:p>
      <w:pPr>
        <w:spacing w:line="560" w:lineRule="exact"/>
        <w:ind w:firstLine="643"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b/>
          <w:color w:val="000000" w:themeColor="text1"/>
          <w:sz w:val="32"/>
          <w:szCs w:val="32"/>
          <w14:textFill>
            <w14:solidFill>
              <w14:schemeClr w14:val="tx1"/>
            </w14:solidFill>
          </w14:textFill>
        </w:rPr>
        <w:t xml:space="preserve">第四条  </w:t>
      </w:r>
      <w:r>
        <w:rPr>
          <w:rFonts w:hint="eastAsia" w:ascii="仿宋" w:hAnsi="仿宋" w:eastAsia="仿宋"/>
          <w:color w:val="000000" w:themeColor="text1"/>
          <w:sz w:val="32"/>
          <w:szCs w:val="32"/>
          <w14:textFill>
            <w14:solidFill>
              <w14:schemeClr w14:val="tx1"/>
            </w14:solidFill>
          </w14:textFill>
        </w:rPr>
        <w:t>每学年研究生各项奖学金名额分配及奖励金额以当年学校通知为准。</w:t>
      </w:r>
    </w:p>
    <w:p>
      <w:pPr>
        <w:spacing w:line="560" w:lineRule="exact"/>
        <w:ind w:firstLine="643" w:firstLineChars="200"/>
        <w:rPr>
          <w:rFonts w:ascii="仿宋" w:hAnsi="仿宋" w:eastAsia="仿宋"/>
          <w:b/>
          <w:color w:val="000000" w:themeColor="text1"/>
          <w:sz w:val="32"/>
          <w:szCs w:val="32"/>
          <w14:textFill>
            <w14:solidFill>
              <w14:schemeClr w14:val="tx1"/>
            </w14:solidFill>
          </w14:textFill>
        </w:rPr>
      </w:pPr>
      <w:r>
        <w:rPr>
          <w:rFonts w:hint="eastAsia" w:ascii="仿宋" w:hAnsi="仿宋" w:eastAsia="仿宋"/>
          <w:b/>
          <w:color w:val="000000" w:themeColor="text1"/>
          <w:sz w:val="32"/>
          <w:szCs w:val="32"/>
          <w14:textFill>
            <w14:solidFill>
              <w14:schemeClr w14:val="tx1"/>
            </w14:solidFill>
          </w14:textFill>
        </w:rPr>
        <w:t xml:space="preserve">第五条  </w:t>
      </w:r>
      <w:r>
        <w:rPr>
          <w:rFonts w:hint="eastAsia" w:ascii="仿宋" w:hAnsi="仿宋" w:eastAsia="仿宋"/>
          <w:color w:val="000000" w:themeColor="text1"/>
          <w:sz w:val="32"/>
          <w:szCs w:val="32"/>
          <w14:textFill>
            <w14:solidFill>
              <w14:schemeClr w14:val="tx1"/>
            </w14:solidFill>
          </w14:textFill>
        </w:rPr>
        <w:t>各项研究生奖学金的参评资格如下：</w:t>
      </w:r>
    </w:p>
    <w:p>
      <w:pPr>
        <w:spacing w:line="56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1.研究生国家奖学金：除港澳台学生及外国留学生外，正常学制内已注册的非在职全日制研究生。</w:t>
      </w:r>
    </w:p>
    <w:p>
      <w:pPr>
        <w:spacing w:line="56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硕博连读研究生注册为博士研究生前，按照硕士研究生身份申请国家奖学金；注册为博士研究生后，按照博士研究生身份申请国家奖学金。直博生注册为博士研究生后，按照博士研究生身份申请国家奖学金。</w:t>
      </w:r>
    </w:p>
    <w:p>
      <w:pPr>
        <w:spacing w:line="56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2.中山大学优秀研究生奖学金：学习满一年的正常学制内全日制研究生。</w:t>
      </w:r>
    </w:p>
    <w:p>
      <w:pPr>
        <w:spacing w:line="56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3. 捐赠奖学金：符合捐赠方要求的研究生。</w:t>
      </w:r>
    </w:p>
    <w:p>
      <w:pPr>
        <w:spacing w:line="560" w:lineRule="exact"/>
        <w:ind w:firstLine="640" w:firstLineChars="200"/>
        <w:rPr>
          <w:rFonts w:asciiTheme="minorEastAsia" w:hAnsiTheme="minorEastAsia" w:eastAsiaTheme="minorEastAsia"/>
          <w:b/>
          <w:color w:val="000000" w:themeColor="text1"/>
          <w:sz w:val="32"/>
          <w:szCs w:val="32"/>
          <w14:textFill>
            <w14:solidFill>
              <w14:schemeClr w14:val="tx1"/>
            </w14:solidFill>
          </w14:textFill>
        </w:rPr>
      </w:pPr>
      <w:r>
        <w:rPr>
          <w:rFonts w:hint="eastAsia" w:asciiTheme="minorEastAsia" w:hAnsiTheme="minorEastAsia" w:eastAsiaTheme="minorEastAsia"/>
          <w:b/>
          <w:color w:val="000000" w:themeColor="text1"/>
          <w:sz w:val="32"/>
          <w:szCs w:val="32"/>
          <w14:textFill>
            <w14:solidFill>
              <w14:schemeClr w14:val="tx1"/>
            </w14:solidFill>
          </w14:textFill>
        </w:rPr>
        <w:t>第四章 申请条件</w:t>
      </w:r>
    </w:p>
    <w:p>
      <w:pPr>
        <w:spacing w:line="560" w:lineRule="exact"/>
        <w:ind w:firstLine="643"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b/>
          <w:color w:val="000000" w:themeColor="text1"/>
          <w:sz w:val="32"/>
          <w:szCs w:val="32"/>
          <w14:textFill>
            <w14:solidFill>
              <w14:schemeClr w14:val="tx1"/>
            </w14:solidFill>
          </w14:textFill>
        </w:rPr>
        <w:t xml:space="preserve">第六条 </w:t>
      </w:r>
      <w:r>
        <w:rPr>
          <w:rFonts w:ascii="仿宋" w:hAnsi="仿宋" w:eastAsia="仿宋"/>
          <w:b/>
          <w:color w:val="000000" w:themeColor="text1"/>
          <w:sz w:val="32"/>
          <w:szCs w:val="32"/>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研究生奖学金的基本申请条件为：</w:t>
      </w:r>
    </w:p>
    <w:p>
      <w:pPr>
        <w:spacing w:line="56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（一）热爱社会主义祖国，拥护中国共产党领导；</w:t>
      </w:r>
    </w:p>
    <w:p>
      <w:pPr>
        <w:spacing w:line="56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（二）遵守宪法和法律，遵守学校规章制度；</w:t>
      </w:r>
    </w:p>
    <w:p>
      <w:pPr>
        <w:spacing w:line="56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（三）诚实守信，道德品质优良；</w:t>
      </w:r>
    </w:p>
    <w:p>
      <w:pPr>
        <w:spacing w:line="56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（五）学习成绩优良，科研能力较强，并取得较好的科研业绩。</w:t>
      </w:r>
    </w:p>
    <w:p>
      <w:pPr>
        <w:spacing w:line="56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（六）有下列情形之一者，取消参评资格：</w:t>
      </w:r>
    </w:p>
    <w:p>
      <w:pPr>
        <w:spacing w:line="56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1. 在申请资料中弄虚作假；</w:t>
      </w:r>
    </w:p>
    <w:p>
      <w:pPr>
        <w:spacing w:line="56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2. 因违反校纪校规受纪律处分；</w:t>
      </w:r>
    </w:p>
    <w:p>
      <w:pPr>
        <w:spacing w:line="56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3.</w:t>
      </w:r>
      <w:r>
        <w:rPr>
          <w:rFonts w:ascii="仿宋" w:hAnsi="仿宋" w:eastAsia="仿宋"/>
          <w:w w:val="94"/>
          <w:sz w:val="32"/>
          <w:szCs w:val="32"/>
        </w:rPr>
        <w:t>一学期缺勤累计2周以上</w:t>
      </w:r>
      <w:r>
        <w:rPr>
          <w:rFonts w:hint="eastAsia" w:ascii="仿宋" w:hAnsi="仿宋" w:eastAsia="仿宋"/>
          <w:w w:val="94"/>
          <w:sz w:val="32"/>
          <w:szCs w:val="32"/>
        </w:rPr>
        <w:t>；</w:t>
      </w:r>
    </w:p>
    <w:p>
      <w:pPr>
        <w:spacing w:line="56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4. 考试作弊或有抄袭、剽窃他人成果等学术不端行为；</w:t>
      </w:r>
    </w:p>
    <w:p>
      <w:pPr>
        <w:spacing w:line="56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5. 在科研或临床工作中，违反工作程序，导致严重后果；</w:t>
      </w:r>
    </w:p>
    <w:p>
      <w:pPr>
        <w:spacing w:line="56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6. 考核学年度“助教”、“助研”、住院医师工作考核不合格；</w:t>
      </w:r>
    </w:p>
    <w:p>
      <w:pPr>
        <w:spacing w:line="56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7. 考核学年度有必修课程考试不合格或专业选修课考试（考查）不及格。</w:t>
      </w:r>
    </w:p>
    <w:p>
      <w:pPr>
        <w:spacing w:line="560" w:lineRule="exact"/>
        <w:ind w:firstLine="640" w:firstLineChars="200"/>
        <w:rPr>
          <w:rFonts w:asciiTheme="minorEastAsia" w:hAnsiTheme="minorEastAsia" w:eastAsiaTheme="minorEastAsia"/>
          <w:b/>
          <w:color w:val="000000" w:themeColor="text1"/>
          <w:sz w:val="32"/>
          <w:szCs w:val="32"/>
          <w14:textFill>
            <w14:solidFill>
              <w14:schemeClr w14:val="tx1"/>
            </w14:solidFill>
          </w14:textFill>
        </w:rPr>
      </w:pPr>
      <w:r>
        <w:rPr>
          <w:rFonts w:hint="eastAsia" w:asciiTheme="minorEastAsia" w:hAnsiTheme="minorEastAsia" w:eastAsiaTheme="minorEastAsia"/>
          <w:b/>
          <w:color w:val="000000" w:themeColor="text1"/>
          <w:sz w:val="32"/>
          <w:szCs w:val="32"/>
          <w14:textFill>
            <w14:solidFill>
              <w14:schemeClr w14:val="tx1"/>
            </w14:solidFill>
          </w14:textFill>
        </w:rPr>
        <w:t>第五章 参评学术成果要求</w:t>
      </w:r>
    </w:p>
    <w:p>
      <w:pPr>
        <w:spacing w:line="560" w:lineRule="exact"/>
        <w:ind w:firstLine="643"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b/>
          <w:color w:val="000000" w:themeColor="text1"/>
          <w:sz w:val="32"/>
          <w:szCs w:val="32"/>
          <w14:textFill>
            <w14:solidFill>
              <w14:schemeClr w14:val="tx1"/>
            </w14:solidFill>
          </w14:textFill>
        </w:rPr>
        <w:t xml:space="preserve">第七条 </w:t>
      </w:r>
      <w:r>
        <w:rPr>
          <w:rFonts w:ascii="仿宋" w:hAnsi="仿宋" w:eastAsia="仿宋"/>
          <w:b/>
          <w:color w:val="000000" w:themeColor="text1"/>
          <w:sz w:val="32"/>
          <w:szCs w:val="32"/>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参评者所提交的学术成果材料，学生申请人须为</w:t>
      </w:r>
      <w:r>
        <w:rPr>
          <w:rFonts w:hint="eastAsia" w:ascii="仿宋" w:hAnsi="仿宋" w:eastAsia="仿宋"/>
          <w:b/>
          <w:color w:val="000000" w:themeColor="text1"/>
          <w:sz w:val="32"/>
          <w:szCs w:val="32"/>
          <w14:textFill>
            <w14:solidFill>
              <w14:schemeClr w14:val="tx1"/>
            </w14:solidFill>
          </w14:textFill>
        </w:rPr>
        <w:t>第一作者</w:t>
      </w:r>
      <w:r>
        <w:rPr>
          <w:rFonts w:hint="eastAsia" w:ascii="仿宋" w:hAnsi="仿宋" w:eastAsia="仿宋"/>
          <w:color w:val="000000" w:themeColor="text1"/>
          <w:sz w:val="32"/>
          <w:szCs w:val="32"/>
          <w14:textFill>
            <w14:solidFill>
              <w14:schemeClr w14:val="tx1"/>
            </w14:solidFill>
          </w14:textFill>
        </w:rPr>
        <w:t>（共同一作的情形，须排名第一），或导师第一作者、学生申请人第二作者，其他情况不能作为成果参评；导师为第一作者的学术成果，导师必须为学生申请人学籍登记在册的指导老师（不包括同实验室导师组其他老师或实际指导老师）。</w:t>
      </w:r>
    </w:p>
    <w:p>
      <w:pPr>
        <w:spacing w:line="560" w:lineRule="exact"/>
        <w:ind w:firstLine="643"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b/>
          <w:color w:val="000000" w:themeColor="text1"/>
          <w:sz w:val="32"/>
          <w:szCs w:val="32"/>
          <w14:textFill>
            <w14:solidFill>
              <w14:schemeClr w14:val="tx1"/>
            </w14:solidFill>
          </w14:textFill>
        </w:rPr>
        <w:t>第八条</w:t>
      </w:r>
      <w:r>
        <w:rPr>
          <w:rFonts w:hint="eastAsia" w:ascii="仿宋" w:hAnsi="仿宋" w:eastAsia="仿宋"/>
          <w:color w:val="000000" w:themeColor="text1"/>
          <w:sz w:val="32"/>
          <w:szCs w:val="32"/>
          <w14:textFill>
            <w14:solidFill>
              <w14:schemeClr w14:val="tx1"/>
            </w14:solidFill>
          </w14:textFill>
        </w:rPr>
        <w:t xml:space="preserve"> </w:t>
      </w:r>
      <w:r>
        <w:rPr>
          <w:rFonts w:ascii="仿宋" w:hAnsi="仿宋" w:eastAsia="仿宋"/>
          <w:color w:val="000000" w:themeColor="text1"/>
          <w:sz w:val="32"/>
          <w:szCs w:val="32"/>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参评者所提交的学术成果包括科研论文、专利证明、技术成果等，</w:t>
      </w:r>
      <w:bookmarkStart w:id="0" w:name="_Hlk525325149"/>
      <w:r>
        <w:rPr>
          <w:rFonts w:hint="eastAsia" w:ascii="仿宋" w:hAnsi="仿宋" w:eastAsia="仿宋"/>
          <w:color w:val="000000" w:themeColor="text1"/>
          <w:sz w:val="32"/>
          <w:szCs w:val="32"/>
          <w14:textFill>
            <w14:solidFill>
              <w14:schemeClr w14:val="tx1"/>
            </w14:solidFill>
          </w14:textFill>
        </w:rPr>
        <w:t>所有科研成果的第一署名单位应为</w:t>
      </w:r>
      <w:r>
        <w:rPr>
          <w:rFonts w:hint="eastAsia" w:ascii="仿宋" w:hAnsi="仿宋" w:eastAsia="仿宋"/>
          <w:b/>
          <w:color w:val="000000" w:themeColor="text1"/>
          <w:sz w:val="32"/>
          <w:szCs w:val="32"/>
          <w14:textFill>
            <w14:solidFill>
              <w14:schemeClr w14:val="tx1"/>
            </w14:solidFill>
          </w14:textFill>
        </w:rPr>
        <w:t>中山大学材料科学与工程学院及其挂靠的科研院所</w:t>
      </w:r>
      <w:bookmarkEnd w:id="0"/>
      <w:r>
        <w:rPr>
          <w:rFonts w:hint="eastAsia" w:ascii="仿宋" w:hAnsi="仿宋" w:eastAsia="仿宋"/>
          <w:color w:val="000000" w:themeColor="text1"/>
          <w:sz w:val="32"/>
          <w:szCs w:val="32"/>
          <w14:textFill>
            <w14:solidFill>
              <w14:schemeClr w14:val="tx1"/>
            </w14:solidFill>
          </w14:textFill>
        </w:rPr>
        <w:t>。</w:t>
      </w:r>
    </w:p>
    <w:p>
      <w:pPr>
        <w:spacing w:line="560" w:lineRule="exact"/>
        <w:ind w:firstLine="643"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b/>
          <w:color w:val="000000" w:themeColor="text1"/>
          <w:sz w:val="32"/>
          <w:szCs w:val="32"/>
          <w14:textFill>
            <w14:solidFill>
              <w14:schemeClr w14:val="tx1"/>
            </w14:solidFill>
          </w14:textFill>
        </w:rPr>
        <w:t>第九条</w:t>
      </w:r>
      <w:r>
        <w:rPr>
          <w:rFonts w:hint="eastAsia" w:ascii="仿宋" w:hAnsi="仿宋" w:eastAsia="仿宋"/>
          <w:color w:val="000000" w:themeColor="text1"/>
          <w:sz w:val="32"/>
          <w:szCs w:val="32"/>
          <w14:textFill>
            <w14:solidFill>
              <w14:schemeClr w14:val="tx1"/>
            </w14:solidFill>
          </w14:textFill>
        </w:rPr>
        <w:t xml:space="preserve">  学术成果的认定要求：学术论文以</w:t>
      </w:r>
      <w:r>
        <w:rPr>
          <w:rFonts w:hint="eastAsia" w:ascii="仿宋" w:hAnsi="仿宋" w:eastAsia="仿宋"/>
          <w:b/>
          <w:color w:val="000000" w:themeColor="text1"/>
          <w:sz w:val="32"/>
          <w:szCs w:val="32"/>
          <w14:textFill>
            <w14:solidFill>
              <w14:schemeClr w14:val="tx1"/>
            </w14:solidFill>
          </w14:textFill>
        </w:rPr>
        <w:t>正式刊出</w:t>
      </w:r>
      <w:r>
        <w:rPr>
          <w:rFonts w:hint="eastAsia" w:ascii="仿宋" w:hAnsi="仿宋" w:eastAsia="仿宋"/>
          <w:color w:val="000000" w:themeColor="text1"/>
          <w:sz w:val="32"/>
          <w:szCs w:val="32"/>
          <w14:textFill>
            <w14:solidFill>
              <w14:schemeClr w14:val="tx1"/>
            </w14:solidFill>
          </w14:textFill>
        </w:rPr>
        <w:t>或</w:t>
      </w:r>
      <w:r>
        <w:rPr>
          <w:rFonts w:hint="eastAsia" w:ascii="仿宋" w:hAnsi="仿宋" w:eastAsia="仿宋"/>
          <w:b/>
          <w:color w:val="000000" w:themeColor="text1"/>
          <w:sz w:val="32"/>
          <w:szCs w:val="32"/>
          <w14:textFill>
            <w14:solidFill>
              <w14:schemeClr w14:val="tx1"/>
            </w14:solidFill>
          </w14:textFill>
        </w:rPr>
        <w:t>正式录用</w:t>
      </w:r>
      <w:r>
        <w:rPr>
          <w:rFonts w:hint="eastAsia" w:ascii="仿宋" w:hAnsi="仿宋" w:eastAsia="仿宋"/>
          <w:color w:val="000000" w:themeColor="text1"/>
          <w:sz w:val="32"/>
          <w:szCs w:val="32"/>
          <w14:textFill>
            <w14:solidFill>
              <w14:schemeClr w14:val="tx1"/>
            </w14:solidFill>
          </w14:textFill>
        </w:rPr>
        <w:t>通知为准；专利以发明专利获得</w:t>
      </w:r>
      <w:r>
        <w:rPr>
          <w:rFonts w:hint="eastAsia" w:ascii="仿宋" w:hAnsi="仿宋" w:eastAsia="仿宋"/>
          <w:b/>
          <w:color w:val="000000" w:themeColor="text1"/>
          <w:sz w:val="32"/>
          <w:szCs w:val="32"/>
          <w14:textFill>
            <w14:solidFill>
              <w14:schemeClr w14:val="tx1"/>
            </w14:solidFill>
          </w14:textFill>
        </w:rPr>
        <w:t>授权</w:t>
      </w:r>
      <w:r>
        <w:rPr>
          <w:rFonts w:hint="eastAsia" w:ascii="仿宋" w:hAnsi="仿宋" w:eastAsia="仿宋"/>
          <w:color w:val="000000" w:themeColor="text1"/>
          <w:sz w:val="32"/>
          <w:szCs w:val="32"/>
          <w14:textFill>
            <w14:solidFill>
              <w14:schemeClr w14:val="tx1"/>
            </w14:solidFill>
          </w14:textFill>
        </w:rPr>
        <w:t>为准；会议论文以被</w:t>
      </w:r>
      <w:r>
        <w:rPr>
          <w:rFonts w:hint="eastAsia" w:ascii="仿宋" w:hAnsi="仿宋" w:eastAsia="仿宋"/>
          <w:b/>
          <w:color w:val="000000" w:themeColor="text1"/>
          <w:sz w:val="32"/>
          <w:szCs w:val="32"/>
          <w14:textFill>
            <w14:solidFill>
              <w14:schemeClr w14:val="tx1"/>
            </w14:solidFill>
          </w14:textFill>
        </w:rPr>
        <w:t>EI或SCI收录</w:t>
      </w:r>
      <w:r>
        <w:rPr>
          <w:rFonts w:hint="eastAsia" w:ascii="仿宋" w:hAnsi="仿宋" w:eastAsia="仿宋"/>
          <w:color w:val="000000" w:themeColor="text1"/>
          <w:sz w:val="32"/>
          <w:szCs w:val="32"/>
          <w14:textFill>
            <w14:solidFill>
              <w14:schemeClr w14:val="tx1"/>
            </w14:solidFill>
          </w14:textFill>
        </w:rPr>
        <w:t>为准，仅收到会议邀请函不能记为参评的成果。</w:t>
      </w:r>
    </w:p>
    <w:p>
      <w:pPr>
        <w:spacing w:line="560" w:lineRule="exact"/>
        <w:ind w:firstLine="643"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b/>
          <w:color w:val="000000" w:themeColor="text1"/>
          <w:sz w:val="32"/>
          <w:szCs w:val="32"/>
          <w14:textFill>
            <w14:solidFill>
              <w14:schemeClr w14:val="tx1"/>
            </w14:solidFill>
          </w14:textFill>
        </w:rPr>
        <w:t xml:space="preserve">第十条  </w:t>
      </w:r>
      <w:r>
        <w:rPr>
          <w:rFonts w:hint="eastAsia" w:ascii="仿宋" w:hAnsi="仿宋" w:eastAsia="仿宋"/>
          <w:color w:val="000000" w:themeColor="text1"/>
          <w:sz w:val="32"/>
          <w:szCs w:val="32"/>
          <w14:textFill>
            <w14:solidFill>
              <w14:schemeClr w14:val="tx1"/>
            </w14:solidFill>
          </w14:textFill>
        </w:rPr>
        <w:t>参评的学术成果只认定评选上一学年度的学术成果，即上一年</w:t>
      </w:r>
      <w:r>
        <w:rPr>
          <w:rFonts w:hint="eastAsia" w:ascii="仿宋" w:hAnsi="仿宋" w:eastAsia="仿宋"/>
          <w:b/>
          <w:color w:val="000000" w:themeColor="text1"/>
          <w:sz w:val="32"/>
          <w:szCs w:val="32"/>
          <w14:textFill>
            <w14:solidFill>
              <w14:schemeClr w14:val="tx1"/>
            </w14:solidFill>
          </w14:textFill>
        </w:rPr>
        <w:t>9月1日起至当年8月31日止正式刊出、录用或授权</w:t>
      </w:r>
      <w:r>
        <w:rPr>
          <w:rFonts w:hint="eastAsia" w:ascii="仿宋" w:hAnsi="仿宋" w:eastAsia="仿宋"/>
          <w:color w:val="000000" w:themeColor="text1"/>
          <w:sz w:val="32"/>
          <w:szCs w:val="32"/>
          <w14:textFill>
            <w14:solidFill>
              <w14:schemeClr w14:val="tx1"/>
            </w14:solidFill>
          </w14:textFill>
        </w:rPr>
        <w:t>的学术成果。曾获得研究生各项奖学金的学生，往年申报使用过的成果材料在当年申报中不可再使用。</w:t>
      </w:r>
    </w:p>
    <w:p>
      <w:pPr>
        <w:spacing w:line="560" w:lineRule="exact"/>
        <w:ind w:firstLine="643"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b/>
          <w:color w:val="000000" w:themeColor="text1"/>
          <w:sz w:val="32"/>
          <w:szCs w:val="32"/>
          <w14:textFill>
            <w14:solidFill>
              <w14:schemeClr w14:val="tx1"/>
            </w14:solidFill>
          </w14:textFill>
        </w:rPr>
        <w:t>第十一条</w:t>
      </w:r>
      <w:r>
        <w:rPr>
          <w:rFonts w:hint="eastAsia" w:ascii="仿宋" w:hAnsi="仿宋" w:eastAsia="仿宋"/>
          <w:color w:val="000000" w:themeColor="text1"/>
          <w:sz w:val="32"/>
          <w:szCs w:val="32"/>
          <w14:textFill>
            <w14:solidFill>
              <w14:schemeClr w14:val="tx1"/>
            </w14:solidFill>
          </w14:textFill>
        </w:rPr>
        <w:t xml:space="preserve">  提交申请表格的同时，必须提交</w:t>
      </w:r>
      <w:r>
        <w:rPr>
          <w:rFonts w:ascii="仿宋" w:hAnsi="仿宋" w:eastAsia="仿宋"/>
          <w:color w:val="000000" w:themeColor="text1"/>
          <w:sz w:val="32"/>
          <w:szCs w:val="32"/>
          <w14:textFill>
            <w14:solidFill>
              <w14:schemeClr w14:val="tx1"/>
            </w14:solidFill>
          </w14:textFill>
        </w:rPr>
        <w:t>已发表论文的封面</w:t>
      </w:r>
      <w:r>
        <w:rPr>
          <w:rFonts w:hint="eastAsia" w:ascii="仿宋" w:hAnsi="仿宋" w:eastAsia="仿宋"/>
          <w:color w:val="000000" w:themeColor="text1"/>
          <w:sz w:val="32"/>
          <w:szCs w:val="32"/>
          <w14:textFill>
            <w14:solidFill>
              <w14:schemeClr w14:val="tx1"/>
            </w14:solidFill>
          </w14:textFill>
        </w:rPr>
        <w:t>、</w:t>
      </w:r>
      <w:r>
        <w:rPr>
          <w:rFonts w:ascii="仿宋" w:hAnsi="仿宋" w:eastAsia="仿宋"/>
          <w:color w:val="000000" w:themeColor="text1"/>
          <w:sz w:val="32"/>
          <w:szCs w:val="32"/>
          <w14:textFill>
            <w14:solidFill>
              <w14:schemeClr w14:val="tx1"/>
            </w14:solidFill>
          </w14:textFill>
        </w:rPr>
        <w:t>目录及论文首页</w:t>
      </w:r>
      <w:r>
        <w:rPr>
          <w:rFonts w:hint="eastAsia" w:ascii="仿宋" w:hAnsi="仿宋" w:eastAsia="仿宋"/>
          <w:color w:val="000000" w:themeColor="text1"/>
          <w:sz w:val="32"/>
          <w:szCs w:val="32"/>
          <w14:textFill>
            <w14:solidFill>
              <w14:schemeClr w14:val="tx1"/>
            </w14:solidFill>
          </w14:textFill>
        </w:rPr>
        <w:t>复印件（或论文接受函复印件），专利证明材料等。</w:t>
      </w:r>
    </w:p>
    <w:p>
      <w:pPr>
        <w:pStyle w:val="5"/>
        <w:spacing w:line="560" w:lineRule="exact"/>
        <w:jc w:val="both"/>
      </w:pPr>
      <w:r>
        <w:rPr>
          <w:rFonts w:hint="eastAsia"/>
        </w:rPr>
        <w:t>第六章 评审程序</w:t>
      </w:r>
    </w:p>
    <w:p>
      <w:pPr>
        <w:autoSpaceDE w:val="0"/>
        <w:autoSpaceDN w:val="0"/>
        <w:adjustRightInd w:val="0"/>
        <w:snapToGrid w:val="0"/>
        <w:spacing w:line="560" w:lineRule="exact"/>
        <w:ind w:firstLine="643"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b/>
          <w:color w:val="000000" w:themeColor="text1"/>
          <w:sz w:val="32"/>
          <w:szCs w:val="32"/>
          <w14:textFill>
            <w14:solidFill>
              <w14:schemeClr w14:val="tx1"/>
            </w14:solidFill>
          </w14:textFill>
        </w:rPr>
        <w:t xml:space="preserve">第十二条  </w:t>
      </w:r>
      <w:r>
        <w:rPr>
          <w:rFonts w:hint="eastAsia" w:ascii="仿宋" w:hAnsi="仿宋" w:eastAsia="仿宋"/>
          <w:color w:val="000000" w:themeColor="text1"/>
          <w:sz w:val="32"/>
          <w:szCs w:val="32"/>
          <w14:textFill>
            <w14:solidFill>
              <w14:schemeClr w14:val="tx1"/>
            </w14:solidFill>
          </w14:textFill>
        </w:rPr>
        <w:t>研究生奖学金评选的具体程序如下：</w:t>
      </w:r>
    </w:p>
    <w:p>
      <w:pPr>
        <w:spacing w:line="56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（一）学生本人在规定时间内提出书面申请，并提供学术成果相关证明材料，逾期不予受理；</w:t>
      </w:r>
    </w:p>
    <w:p>
      <w:pPr>
        <w:pStyle w:val="8"/>
        <w:numPr>
          <w:ilvl w:val="0"/>
          <w:numId w:val="1"/>
        </w:numPr>
        <w:autoSpaceDE w:val="0"/>
        <w:autoSpaceDN w:val="0"/>
        <w:adjustRightInd w:val="0"/>
        <w:snapToGrid w:val="0"/>
        <w:spacing w:line="560" w:lineRule="exact"/>
        <w:ind w:firstLineChars="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导师审核推荐；</w:t>
      </w:r>
    </w:p>
    <w:p>
      <w:pPr>
        <w:pStyle w:val="8"/>
        <w:numPr>
          <w:ilvl w:val="0"/>
          <w:numId w:val="1"/>
        </w:numPr>
        <w:spacing w:line="560" w:lineRule="exact"/>
        <w:ind w:left="0" w:firstLine="600" w:firstLineChars="0"/>
        <w:rPr>
          <w:rFonts w:ascii="仿宋" w:hAnsi="仿宋" w:eastAsia="仿宋"/>
          <w:sz w:val="32"/>
          <w:szCs w:val="32"/>
        </w:rPr>
      </w:pPr>
      <w:r>
        <w:rPr>
          <w:rFonts w:hint="eastAsia" w:ascii="仿宋" w:hAnsi="仿宋" w:eastAsia="仿宋"/>
          <w:color w:val="000000" w:themeColor="text1"/>
          <w:sz w:val="32"/>
          <w:szCs w:val="32"/>
          <w14:textFill>
            <w14:solidFill>
              <w14:schemeClr w14:val="tx1"/>
            </w14:solidFill>
          </w14:textFill>
        </w:rPr>
        <w:t>学院研究生奖学金评审委员会审核参评者申请材料，对参评者进行初评，确定研究生奖学金答辩名单，同时组织研究生奖学金评审专家小组。</w:t>
      </w:r>
      <w:r>
        <w:rPr>
          <w:rFonts w:hint="eastAsia" w:ascii="仿宋" w:hAnsi="仿宋" w:eastAsia="仿宋"/>
          <w:sz w:val="32"/>
          <w:szCs w:val="32"/>
        </w:rPr>
        <w:t>评审专家小组成员由学院各学科方向教师代表组成；</w:t>
      </w:r>
    </w:p>
    <w:p>
      <w:pPr>
        <w:pStyle w:val="8"/>
        <w:numPr>
          <w:ilvl w:val="0"/>
          <w:numId w:val="1"/>
        </w:numPr>
        <w:spacing w:line="560" w:lineRule="exact"/>
        <w:ind w:left="0" w:firstLine="600" w:firstLineChars="0"/>
        <w:rPr>
          <w:rFonts w:ascii="仿宋" w:hAnsi="仿宋" w:eastAsia="仿宋"/>
          <w:sz w:val="32"/>
          <w:szCs w:val="32"/>
        </w:rPr>
      </w:pPr>
      <w:r>
        <w:rPr>
          <w:rFonts w:hint="eastAsia" w:ascii="仿宋" w:hAnsi="仿宋" w:eastAsia="仿宋"/>
          <w:sz w:val="32"/>
          <w:szCs w:val="32"/>
        </w:rPr>
        <w:t>学院组织研究生奖学金答辩会，由评审专家小组成员根据学生科研成果及答辩情况确定参评学生排名。</w:t>
      </w:r>
    </w:p>
    <w:p>
      <w:pPr>
        <w:pStyle w:val="8"/>
        <w:numPr>
          <w:ilvl w:val="0"/>
          <w:numId w:val="1"/>
        </w:numPr>
        <w:spacing w:line="560" w:lineRule="exact"/>
        <w:ind w:left="0" w:firstLine="600" w:firstLineChars="0"/>
        <w:rPr>
          <w:rFonts w:ascii="仿宋" w:hAnsi="仿宋" w:eastAsia="仿宋"/>
          <w:color w:val="000000" w:themeColor="text1"/>
          <w:sz w:val="32"/>
          <w:szCs w:val="32"/>
          <w14:textFill>
            <w14:solidFill>
              <w14:schemeClr w14:val="tx1"/>
            </w14:solidFill>
          </w14:textFill>
        </w:rPr>
      </w:pPr>
      <w:r>
        <w:rPr>
          <w:rFonts w:hint="eastAsia" w:ascii="仿宋" w:hAnsi="仿宋" w:eastAsia="仿宋"/>
          <w:sz w:val="32"/>
          <w:szCs w:val="32"/>
        </w:rPr>
        <w:t>学院研究生奖学金评审委员会根据答辩排名、学科、专业情况等讨论确定学院推荐获奖学生名单和排序，并在院内</w:t>
      </w:r>
      <w:r>
        <w:rPr>
          <w:rFonts w:ascii="仿宋" w:hAnsi="仿宋" w:eastAsia="仿宋"/>
          <w:kern w:val="0"/>
          <w:sz w:val="32"/>
          <w:szCs w:val="32"/>
          <w:lang w:val="zh-CN"/>
        </w:rPr>
        <w:t>进行公示</w:t>
      </w:r>
      <w:r>
        <w:rPr>
          <w:rFonts w:hint="eastAsia" w:ascii="仿宋" w:hAnsi="仿宋" w:eastAsia="仿宋"/>
          <w:kern w:val="0"/>
          <w:sz w:val="32"/>
          <w:szCs w:val="32"/>
          <w:lang w:val="zh-CN"/>
        </w:rPr>
        <w:t>。</w:t>
      </w:r>
      <w:r>
        <w:rPr>
          <w:rFonts w:hint="eastAsia" w:ascii="仿宋" w:hAnsi="仿宋" w:eastAsia="仿宋"/>
          <w:sz w:val="32"/>
          <w:szCs w:val="32"/>
        </w:rPr>
        <w:t>在学院公示阶段，学生对学</w:t>
      </w:r>
      <w:r>
        <w:rPr>
          <w:rFonts w:hint="eastAsia" w:ascii="仿宋" w:hAnsi="仿宋" w:eastAsia="仿宋"/>
          <w:color w:val="000000" w:themeColor="text1"/>
          <w:sz w:val="32"/>
          <w:szCs w:val="32"/>
          <w14:textFill>
            <w14:solidFill>
              <w14:schemeClr w14:val="tx1"/>
            </w14:solidFill>
          </w14:textFill>
        </w:rPr>
        <w:t>院的初评结果有异议的，可向学院研究生奖学金评审委员会提出申诉，评审委员会将及时研究并予以答复；</w:t>
      </w:r>
    </w:p>
    <w:p>
      <w:pPr>
        <w:spacing w:line="560" w:lineRule="exact"/>
        <w:ind w:firstLine="640" w:firstLineChars="200"/>
        <w:rPr>
          <w:rFonts w:ascii="仿宋" w:hAnsi="仿宋" w:eastAsia="仿宋"/>
          <w:sz w:val="32"/>
          <w:szCs w:val="32"/>
        </w:rPr>
      </w:pPr>
      <w:r>
        <w:rPr>
          <w:rFonts w:hint="eastAsia" w:ascii="仿宋" w:hAnsi="仿宋" w:eastAsia="仿宋"/>
          <w:color w:val="000000" w:themeColor="text1"/>
          <w:sz w:val="32"/>
          <w:szCs w:val="32"/>
          <w14:textFill>
            <w14:solidFill>
              <w14:schemeClr w14:val="tx1"/>
            </w14:solidFill>
          </w14:textFill>
        </w:rPr>
        <w:t>（六）</w:t>
      </w:r>
      <w:r>
        <w:rPr>
          <w:rFonts w:hint="eastAsia" w:ascii="仿宋" w:hAnsi="仿宋" w:eastAsia="仿宋"/>
          <w:sz w:val="32"/>
          <w:szCs w:val="32"/>
        </w:rPr>
        <w:t>学校组织专家小组审核，学校研究生奖助学金评审领导小组审定并予以公示；</w:t>
      </w:r>
    </w:p>
    <w:p>
      <w:pPr>
        <w:autoSpaceDE w:val="0"/>
        <w:autoSpaceDN w:val="0"/>
        <w:adjustRightInd w:val="0"/>
        <w:snapToGrid w:val="0"/>
        <w:spacing w:line="56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（七）学校正式发文公布获奖名单。</w:t>
      </w:r>
    </w:p>
    <w:p>
      <w:pPr>
        <w:pStyle w:val="5"/>
        <w:spacing w:line="560" w:lineRule="exact"/>
        <w:jc w:val="both"/>
      </w:pPr>
      <w:bookmarkStart w:id="1" w:name="_Toc457637197"/>
      <w:r>
        <w:rPr>
          <w:rFonts w:hint="eastAsia"/>
        </w:rPr>
        <w:t>第七章 附则</w:t>
      </w:r>
      <w:bookmarkEnd w:id="1"/>
    </w:p>
    <w:p>
      <w:pPr>
        <w:spacing w:line="560" w:lineRule="exact"/>
        <w:ind w:left="420" w:firstLine="321" w:firstLineChars="100"/>
        <w:rPr>
          <w:rFonts w:ascii="仿宋" w:hAnsi="仿宋" w:eastAsia="仿宋"/>
          <w:sz w:val="32"/>
          <w:szCs w:val="32"/>
        </w:rPr>
      </w:pPr>
      <w:r>
        <w:rPr>
          <w:rFonts w:hint="eastAsia" w:ascii="仿宋" w:hAnsi="仿宋" w:eastAsia="仿宋"/>
          <w:b/>
          <w:color w:val="000000" w:themeColor="text1"/>
          <w:sz w:val="32"/>
          <w:szCs w:val="32"/>
          <w14:textFill>
            <w14:solidFill>
              <w14:schemeClr w14:val="tx1"/>
            </w14:solidFill>
          </w14:textFill>
        </w:rPr>
        <w:t xml:space="preserve">第十三条  </w:t>
      </w:r>
      <w:r>
        <w:rPr>
          <w:rFonts w:hint="eastAsia" w:ascii="仿宋" w:hAnsi="仿宋" w:eastAsia="仿宋"/>
          <w:sz w:val="32"/>
          <w:szCs w:val="32"/>
        </w:rPr>
        <w:t>在申报过程中如发现提供不实信息者，将取消其所有年份评选资格。如已获奖学金，则取消其荣誉称号，收回已发奖学金，并视情节轻重给予纪律处分。</w:t>
      </w:r>
    </w:p>
    <w:p>
      <w:pPr>
        <w:spacing w:line="560" w:lineRule="exact"/>
        <w:ind w:firstLine="643"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b/>
          <w:color w:val="000000" w:themeColor="text1"/>
          <w:sz w:val="32"/>
          <w:szCs w:val="32"/>
          <w14:textFill>
            <w14:solidFill>
              <w14:schemeClr w14:val="tx1"/>
            </w14:solidFill>
          </w14:textFill>
        </w:rPr>
        <w:t>第十四条</w:t>
      </w:r>
      <w:r>
        <w:rPr>
          <w:rFonts w:hint="eastAsia" w:ascii="仿宋" w:hAnsi="仿宋" w:eastAsia="仿宋"/>
          <w:color w:val="000000" w:themeColor="text1"/>
          <w:sz w:val="32"/>
          <w:szCs w:val="32"/>
          <w14:textFill>
            <w14:solidFill>
              <w14:schemeClr w14:val="tx1"/>
            </w14:solidFill>
          </w14:textFill>
        </w:rPr>
        <w:t xml:space="preserve">  本办法自公布之日起实施，由学院研究生奖学金评审委员会负责解释。</w:t>
      </w:r>
    </w:p>
    <w:p>
      <w:pPr>
        <w:spacing w:line="560" w:lineRule="exact"/>
        <w:rPr>
          <w:rFonts w:ascii="仿宋" w:hAnsi="仿宋" w:eastAsia="仿宋"/>
          <w:color w:val="000000" w:themeColor="text1"/>
          <w:sz w:val="32"/>
          <w:szCs w:val="32"/>
          <w14:textFill>
            <w14:solidFill>
              <w14:schemeClr w14:val="tx1"/>
            </w14:solidFill>
          </w14:textFill>
        </w:rPr>
      </w:pPr>
    </w:p>
    <w:p>
      <w:pPr>
        <w:spacing w:line="560" w:lineRule="exact"/>
        <w:rPr>
          <w:rFonts w:ascii="仿宋" w:hAnsi="仿宋" w:eastAsia="仿宋"/>
          <w:color w:val="000000" w:themeColor="text1"/>
          <w:sz w:val="32"/>
          <w:szCs w:val="32"/>
          <w14:textFill>
            <w14:solidFill>
              <w14:schemeClr w14:val="tx1"/>
            </w14:solidFill>
          </w14:textFill>
        </w:rPr>
      </w:pPr>
    </w:p>
    <w:p>
      <w:pPr>
        <w:spacing w:line="560" w:lineRule="exact"/>
        <w:rPr>
          <w:rFonts w:ascii="仿宋" w:hAnsi="仿宋" w:eastAsia="仿宋"/>
          <w:color w:val="000000" w:themeColor="text1"/>
          <w:sz w:val="32"/>
          <w:szCs w:val="32"/>
          <w14:textFill>
            <w14:solidFill>
              <w14:schemeClr w14:val="tx1"/>
            </w14:solidFill>
          </w14:textFill>
        </w:rPr>
      </w:pPr>
    </w:p>
    <w:p>
      <w:pPr>
        <w:spacing w:line="56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 xml:space="preserve">                      中山大学材料科学与工程学院</w:t>
      </w:r>
    </w:p>
    <w:p>
      <w:pPr>
        <w:spacing w:line="56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 xml:space="preserve">                          二〇一八年九月二十日</w:t>
      </w:r>
    </w:p>
    <w:p/>
    <w:sectPr>
      <w:pgSz w:w="11906" w:h="16838"/>
      <w:pgMar w:top="1440" w:right="1800" w:bottom="1276"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DF6DA9"/>
    <w:multiLevelType w:val="multilevel"/>
    <w:tmpl w:val="61DF6DA9"/>
    <w:lvl w:ilvl="0" w:tentative="0">
      <w:start w:val="2"/>
      <w:numFmt w:val="japaneseCounting"/>
      <w:lvlText w:val="（%1）"/>
      <w:lvlJc w:val="left"/>
      <w:pPr>
        <w:ind w:left="1320" w:hanging="720"/>
      </w:pPr>
      <w:rPr>
        <w:rFonts w:hint="default"/>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CAE"/>
    <w:rsid w:val="00046FEE"/>
    <w:rsid w:val="0005720A"/>
    <w:rsid w:val="00096AE6"/>
    <w:rsid w:val="000E5B46"/>
    <w:rsid w:val="000F165F"/>
    <w:rsid w:val="0011608E"/>
    <w:rsid w:val="00136019"/>
    <w:rsid w:val="00175F4B"/>
    <w:rsid w:val="00190D21"/>
    <w:rsid w:val="001A001F"/>
    <w:rsid w:val="001C5485"/>
    <w:rsid w:val="001E3EB3"/>
    <w:rsid w:val="0034195C"/>
    <w:rsid w:val="00350D00"/>
    <w:rsid w:val="003557D4"/>
    <w:rsid w:val="0039738B"/>
    <w:rsid w:val="003B0379"/>
    <w:rsid w:val="003F6F17"/>
    <w:rsid w:val="00442E3D"/>
    <w:rsid w:val="004560E6"/>
    <w:rsid w:val="00457DAA"/>
    <w:rsid w:val="004F183E"/>
    <w:rsid w:val="005353C1"/>
    <w:rsid w:val="00564FEE"/>
    <w:rsid w:val="00584CA0"/>
    <w:rsid w:val="005A6257"/>
    <w:rsid w:val="00621863"/>
    <w:rsid w:val="006703AE"/>
    <w:rsid w:val="006809DF"/>
    <w:rsid w:val="006A6B44"/>
    <w:rsid w:val="007130B1"/>
    <w:rsid w:val="0084279C"/>
    <w:rsid w:val="00852CF2"/>
    <w:rsid w:val="008578C6"/>
    <w:rsid w:val="00886BB0"/>
    <w:rsid w:val="008B6B4A"/>
    <w:rsid w:val="00973BFF"/>
    <w:rsid w:val="00975104"/>
    <w:rsid w:val="009A29E0"/>
    <w:rsid w:val="009C7BAD"/>
    <w:rsid w:val="00A41253"/>
    <w:rsid w:val="00AA355C"/>
    <w:rsid w:val="00AB3CAE"/>
    <w:rsid w:val="00B37BDD"/>
    <w:rsid w:val="00B42B0E"/>
    <w:rsid w:val="00B81A1E"/>
    <w:rsid w:val="00C14B0A"/>
    <w:rsid w:val="00C44705"/>
    <w:rsid w:val="00C53247"/>
    <w:rsid w:val="00C645F4"/>
    <w:rsid w:val="00C70D27"/>
    <w:rsid w:val="00CA6AC8"/>
    <w:rsid w:val="00D20D27"/>
    <w:rsid w:val="00DC21E1"/>
    <w:rsid w:val="00E10B9F"/>
    <w:rsid w:val="00E2688B"/>
    <w:rsid w:val="00E56355"/>
    <w:rsid w:val="00F579F4"/>
    <w:rsid w:val="00F651FA"/>
    <w:rsid w:val="497A57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itle"/>
    <w:basedOn w:val="1"/>
    <w:next w:val="1"/>
    <w:link w:val="9"/>
    <w:qFormat/>
    <w:uiPriority w:val="10"/>
    <w:pPr>
      <w:spacing w:before="240" w:after="60" w:line="540" w:lineRule="atLeast"/>
      <w:ind w:left="780"/>
      <w:jc w:val="center"/>
      <w:outlineLvl w:val="0"/>
    </w:pPr>
    <w:rPr>
      <w:rFonts w:asciiTheme="minorEastAsia" w:hAnsiTheme="minorEastAsia" w:eastAsiaTheme="minorEastAsia" w:cstheme="minorBidi"/>
      <w:b/>
      <w:bCs/>
      <w:sz w:val="32"/>
      <w:szCs w:val="32"/>
    </w:rPr>
  </w:style>
  <w:style w:type="paragraph" w:styleId="8">
    <w:name w:val="List Paragraph"/>
    <w:basedOn w:val="1"/>
    <w:qFormat/>
    <w:uiPriority w:val="34"/>
    <w:pPr>
      <w:ind w:firstLine="420" w:firstLineChars="200"/>
    </w:pPr>
  </w:style>
  <w:style w:type="character" w:customStyle="1" w:styleId="9">
    <w:name w:val="标题 字符"/>
    <w:basedOn w:val="7"/>
    <w:link w:val="5"/>
    <w:locked/>
    <w:uiPriority w:val="10"/>
    <w:rPr>
      <w:rFonts w:asciiTheme="minorEastAsia" w:hAnsiTheme="minorEastAsia"/>
      <w:b/>
      <w:bCs/>
      <w:sz w:val="32"/>
      <w:szCs w:val="32"/>
    </w:rPr>
  </w:style>
  <w:style w:type="character" w:customStyle="1" w:styleId="10">
    <w:name w:val="标题 字符1"/>
    <w:basedOn w:val="7"/>
    <w:qFormat/>
    <w:uiPriority w:val="10"/>
    <w:rPr>
      <w:rFonts w:asciiTheme="majorHAnsi" w:hAnsiTheme="majorHAnsi" w:eastAsiaTheme="majorEastAsia" w:cstheme="majorBidi"/>
      <w:b/>
      <w:bCs/>
      <w:sz w:val="32"/>
      <w:szCs w:val="32"/>
    </w:rPr>
  </w:style>
  <w:style w:type="character" w:customStyle="1" w:styleId="11">
    <w:name w:val="页眉 字符"/>
    <w:basedOn w:val="7"/>
    <w:link w:val="4"/>
    <w:qFormat/>
    <w:uiPriority w:val="99"/>
    <w:rPr>
      <w:rFonts w:ascii="Times New Roman" w:hAnsi="Times New Roman" w:eastAsia="宋体" w:cs="Times New Roman"/>
      <w:sz w:val="18"/>
      <w:szCs w:val="18"/>
    </w:rPr>
  </w:style>
  <w:style w:type="character" w:customStyle="1" w:styleId="12">
    <w:name w:val="页脚 字符"/>
    <w:basedOn w:val="7"/>
    <w:link w:val="3"/>
    <w:qFormat/>
    <w:uiPriority w:val="99"/>
    <w:rPr>
      <w:rFonts w:ascii="Times New Roman" w:hAnsi="Times New Roman" w:eastAsia="宋体" w:cs="Times New Roman"/>
      <w:sz w:val="18"/>
      <w:szCs w:val="18"/>
    </w:rPr>
  </w:style>
  <w:style w:type="character" w:customStyle="1" w:styleId="13">
    <w:name w:val="批注框文本 字符"/>
    <w:basedOn w:val="7"/>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1886</Words>
  <Characters>1909</Characters>
  <Lines>14</Lines>
  <Paragraphs>4</Paragraphs>
  <TotalTime>29</TotalTime>
  <ScaleCrop>false</ScaleCrop>
  <LinksUpToDate>false</LinksUpToDate>
  <CharactersWithSpaces>2030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2019-09-16T05:36:00Z</dcterms:created>
  <dc:creator>Ping Hu</dc:creator>
  <cp:lastModifiedBy>SdM</cp:lastModifiedBy>
  <cp:lastPrinted>2019-09-23T09:49:00Z</cp:lastPrinted>
  <dcterms:modified xsi:type="dcterms:W3CDTF">2023-09-23T03:16:11Z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8C179787F3A64E22BA12A33686D74143_13</vt:lpwstr>
  </property>
</Properties>
</file>