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2B1" w:rsidRDefault="002152B1">
      <w:pPr>
        <w:jc w:val="center"/>
        <w:rPr>
          <w:rFonts w:ascii="方正小标宋简体" w:eastAsia="方正小标宋简体" w:hAnsi="方正小标宋简体" w:cs="方正小标宋简体"/>
          <w:sz w:val="44"/>
          <w:szCs w:val="44"/>
        </w:rPr>
      </w:pPr>
    </w:p>
    <w:p w:rsidR="002152B1" w:rsidRDefault="00383A0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中山大学</w:t>
      </w:r>
      <w:r>
        <w:rPr>
          <w:rFonts w:ascii="方正小标宋简体" w:eastAsia="方正小标宋简体" w:hAnsi="方正小标宋简体" w:cs="方正小标宋简体" w:hint="eastAsia"/>
          <w:sz w:val="44"/>
          <w:szCs w:val="44"/>
        </w:rPr>
        <w:t>实验室安全准入培训和考核工作方案</w:t>
      </w:r>
    </w:p>
    <w:p w:rsidR="002152B1" w:rsidRDefault="00383A0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（试行）</w:t>
      </w:r>
    </w:p>
    <w:p w:rsidR="002152B1" w:rsidRDefault="002152B1">
      <w:pPr>
        <w:rPr>
          <w:sz w:val="32"/>
          <w:szCs w:val="32"/>
        </w:rPr>
      </w:pPr>
    </w:p>
    <w:p w:rsidR="002152B1" w:rsidRDefault="00383A06">
      <w:pPr>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一、目的</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为进一步增强进入实验室的各类人员的安全意识和安全风险防控能力，保障我校实验室安全和校园环境安全，学校拟在前期本科生、研</w:t>
      </w:r>
      <w:r>
        <w:rPr>
          <w:rFonts w:ascii="仿宋_GB2312" w:eastAsia="仿宋_GB2312" w:hAnsi="仿宋_GB2312" w:cs="仿宋_GB2312" w:hint="eastAsia"/>
          <w:sz w:val="32"/>
          <w:szCs w:val="32"/>
        </w:rPr>
        <w:t>究生和新教职工实验室准入培训和考核（以下简称“准入培训和考核”）探索性工作的基础上，全面启动准入培训和考核工作。</w:t>
      </w:r>
    </w:p>
    <w:p w:rsidR="002152B1" w:rsidRDefault="00383A06">
      <w:pPr>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二、需要参加准入培训和考核的人员</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类人员：学校实验室安全管理分级为一至三级的各二级单位（以下简称“各二级单位”）的下列人员（以下称“</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类人员”），具体包括：</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A-</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已入职的全体教师</w:t>
      </w:r>
      <w:r>
        <w:rPr>
          <w:rFonts w:hint="eastAsia"/>
        </w:rPr>
        <w:t>、</w:t>
      </w:r>
      <w:r>
        <w:rPr>
          <w:rFonts w:ascii="仿宋_GB2312" w:eastAsia="仿宋_GB2312" w:hAnsi="仿宋_GB2312" w:cs="仿宋_GB2312" w:hint="eastAsia"/>
          <w:sz w:val="32"/>
          <w:szCs w:val="32"/>
        </w:rPr>
        <w:t>实验技术人员和工程技术人员、专职科研系列人员、在站博士后。</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A-2. </w:t>
      </w:r>
      <w:r>
        <w:rPr>
          <w:rFonts w:ascii="仿宋_GB2312" w:eastAsia="仿宋_GB2312" w:hAnsi="仿宋_GB2312" w:cs="仿宋_GB2312" w:hint="eastAsia"/>
          <w:sz w:val="32"/>
          <w:szCs w:val="32"/>
        </w:rPr>
        <w:t>在读本科和研究生。</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A-3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单位党政主要负责人、主管实验室安全的分管领导、学院的实验室安全员。</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类人员，校领导和相关职能部门管理人员（以下称“</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类人员”），具体包括：</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B-</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学校主管实验室安全的校领导、实验室安全主要相关职能部门（设备与实验室管理处、保卫处）正职负责人和分管负责人。</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B-</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设备与实验室管理处实验室技术安全科全体人员。</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保卫处负责消防安全和治安管理的保卫干部。</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类人员：因来校短期讲学、进修、研修、合作、学习、或被短期聘用等需进入实验室开展实验活动的其他人员。</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参观、安全检查、临时事项、临时用工等一次性进入实验室且不涉及实验活动的人员，无需参加拟进入实验室的安全培训和准入考核，实验室负责人应安排本实验室工作人员或由学院安全员全程陪同并做好安全指引。</w:t>
      </w:r>
    </w:p>
    <w:p w:rsidR="002152B1" w:rsidRDefault="0036443B">
      <w:pPr>
        <w:spacing w:line="360" w:lineRule="auto"/>
        <w:ind w:firstLineChars="200" w:firstLine="640"/>
        <w:rPr>
          <w:rFonts w:ascii="仿宋_GB2312" w:eastAsia="仿宋_GB2312" w:hAnsi="仿宋_GB2312" w:cs="仿宋_GB2312"/>
          <w:sz w:val="32"/>
          <w:szCs w:val="32"/>
        </w:rPr>
      </w:pPr>
      <w:r w:rsidRPr="0036443B">
        <w:rPr>
          <w:rFonts w:ascii="仿宋_GB2312" w:eastAsia="仿宋_GB2312" w:hAnsi="仿宋_GB2312" w:cs="仿宋_GB2312" w:hint="eastAsia"/>
          <w:sz w:val="32"/>
          <w:szCs w:val="32"/>
        </w:rPr>
        <w:t>涉及多重身份，即既是A-1类人员，又是A-3或B类身份的人员：按照A-1类人员的标准和要求进行培训和考核。</w:t>
      </w:r>
      <w:bookmarkStart w:id="0" w:name="_GoBack"/>
      <w:bookmarkEnd w:id="0"/>
    </w:p>
    <w:p w:rsidR="002152B1" w:rsidRDefault="00383A06">
      <w:pPr>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三、组织模式和具体落实的责任单位</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准入培训和考核实行学校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学院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实验室三级管理制，各负其责，其中：</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）设备与实验室管理处负责统筹和督查全校实验室安全准入培训和考核工作；具体负责</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类人员的准入培训和考核工作。</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（二）各二级单位负责</w:t>
      </w:r>
      <w:r>
        <w:rPr>
          <w:rStyle w:val="af0"/>
          <w:rFonts w:ascii="仿宋_GB2312" w:eastAsia="仿宋_GB2312" w:hint="eastAsia"/>
          <w:sz w:val="32"/>
          <w:szCs w:val="32"/>
        </w:rPr>
        <w:t>统筹和督查</w:t>
      </w:r>
      <w:r>
        <w:rPr>
          <w:rFonts w:ascii="仿宋_GB2312" w:eastAsia="仿宋_GB2312" w:hAnsi="仿宋_GB2312" w:cs="仿宋_GB2312" w:hint="eastAsia"/>
          <w:sz w:val="32"/>
          <w:szCs w:val="32"/>
        </w:rPr>
        <w:t>本单位实验室安全准入培训和考核工作，具体负责</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类人员的准入培训和考核工作。</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（三）各实验室具体负责需进入本实验室开展相关活动的</w:t>
      </w:r>
      <w:r>
        <w:rPr>
          <w:rFonts w:ascii="仿宋_GB2312" w:eastAsia="仿宋_GB2312" w:hAnsi="仿宋_GB2312" w:cs="仿宋_GB2312"/>
          <w:sz w:val="32"/>
          <w:szCs w:val="32"/>
        </w:rPr>
        <w:t>A-1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A-2</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C</w:t>
      </w:r>
      <w:r>
        <w:rPr>
          <w:rFonts w:ascii="仿宋_GB2312" w:eastAsia="仿宋_GB2312" w:hAnsi="仿宋_GB2312" w:cs="仿宋_GB2312"/>
          <w:sz w:val="32"/>
          <w:szCs w:val="32"/>
        </w:rPr>
        <w:t>类</w:t>
      </w:r>
      <w:r>
        <w:rPr>
          <w:rFonts w:ascii="仿宋_GB2312" w:eastAsia="仿宋_GB2312" w:hAnsi="仿宋_GB2312" w:cs="仿宋_GB2312" w:hint="eastAsia"/>
          <w:sz w:val="32"/>
          <w:szCs w:val="32"/>
        </w:rPr>
        <w:t>人员的准入培训和许可工作。</w:t>
      </w:r>
    </w:p>
    <w:p w:rsidR="002152B1" w:rsidRDefault="00383A06">
      <w:pPr>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四、准入培训的内容和方式</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（一）培训内容</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国家、地方相关法律法规、通用要求、行业标准、指南、技术规范以及学校相关规范性文件；</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实验室安全基本知识，包括实验室消防、治安和水电等基本安全知识；</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《中山大学实验室安全手册》；</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化学安全、生物安全、辐射安全、特种设备及其他仪器设备安全等与各二级单位学科特点相关的专项安全知识；</w:t>
      </w:r>
      <w:r>
        <w:rPr>
          <w:rFonts w:ascii="仿宋_GB2312" w:eastAsia="仿宋_GB2312" w:hAnsi="仿宋_GB2312" w:cs="仿宋_GB2312"/>
          <w:sz w:val="32"/>
          <w:szCs w:val="32"/>
        </w:rPr>
        <w:t xml:space="preserve"> </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各二级单位实验室安全管理制度和管理要求；</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6. </w:t>
      </w:r>
      <w:r>
        <w:rPr>
          <w:rFonts w:ascii="仿宋_GB2312" w:eastAsia="仿宋_GB2312" w:hAnsi="仿宋_GB2312" w:cs="仿宋_GB2312" w:hint="eastAsia"/>
          <w:sz w:val="32"/>
          <w:szCs w:val="32"/>
        </w:rPr>
        <w:t>实验室的规章制度、操作规程以及与本实验室特点相关的安全知识及要求。</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A-1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A-2</w:t>
      </w:r>
      <w:r>
        <w:rPr>
          <w:rFonts w:ascii="仿宋_GB2312" w:eastAsia="仿宋_GB2312" w:hAnsi="仿宋_GB2312" w:cs="仿宋_GB2312" w:hint="eastAsia"/>
          <w:sz w:val="32"/>
          <w:szCs w:val="32"/>
        </w:rPr>
        <w:t>类人员，需学习上述</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项内容，如需进入具体某个实验室，在进入该实验室前，还需学习第</w:t>
      </w:r>
      <w:r>
        <w:rPr>
          <w:rFonts w:ascii="仿宋_GB2312" w:eastAsia="仿宋_GB2312" w:hAnsi="仿宋_GB2312" w:cs="仿宋_GB2312"/>
          <w:sz w:val="32"/>
          <w:szCs w:val="32"/>
        </w:rPr>
        <w:t>6</w:t>
      </w:r>
      <w:r>
        <w:rPr>
          <w:rFonts w:ascii="仿宋_GB2312" w:eastAsia="仿宋_GB2312" w:hAnsi="仿宋_GB2312" w:cs="仿宋_GB2312"/>
          <w:sz w:val="32"/>
          <w:szCs w:val="32"/>
        </w:rPr>
        <w:t>项内容</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A-3</w:t>
      </w:r>
      <w:r>
        <w:rPr>
          <w:rFonts w:ascii="仿宋_GB2312" w:eastAsia="仿宋_GB2312" w:hAnsi="仿宋_GB2312" w:cs="仿宋_GB2312" w:hint="eastAsia"/>
          <w:sz w:val="32"/>
          <w:szCs w:val="32"/>
        </w:rPr>
        <w:t>类人员，需学习上述</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项内容</w:t>
      </w:r>
      <w:r>
        <w:rPr>
          <w:rFonts w:ascii="仿宋_GB2312" w:eastAsia="仿宋_GB2312" w:hAnsi="仿宋_GB2312" w:cs="仿宋_GB2312"/>
          <w:sz w:val="32"/>
          <w:szCs w:val="32"/>
        </w:rPr>
        <w:t>.</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B-1</w:t>
      </w:r>
      <w:r>
        <w:rPr>
          <w:rFonts w:ascii="仿宋_GB2312" w:eastAsia="仿宋_GB2312" w:hAnsi="仿宋_GB2312" w:cs="仿宋_GB2312" w:hint="eastAsia"/>
          <w:sz w:val="32"/>
          <w:szCs w:val="32"/>
        </w:rPr>
        <w:t>类和</w:t>
      </w:r>
      <w:r>
        <w:rPr>
          <w:rFonts w:ascii="仿宋_GB2312" w:eastAsia="仿宋_GB2312" w:hAnsi="仿宋_GB2312" w:cs="仿宋_GB2312" w:hint="eastAsia"/>
          <w:sz w:val="32"/>
          <w:szCs w:val="32"/>
        </w:rPr>
        <w:t>B-</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类人员，需学习</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项内容；</w:t>
      </w:r>
      <w:r>
        <w:rPr>
          <w:rFonts w:ascii="仿宋_GB2312" w:eastAsia="仿宋_GB2312" w:hAnsi="仿宋_GB2312" w:cs="仿宋_GB2312"/>
          <w:sz w:val="32"/>
          <w:szCs w:val="32"/>
        </w:rPr>
        <w:t>B-2</w:t>
      </w:r>
      <w:r>
        <w:rPr>
          <w:rFonts w:ascii="仿宋_GB2312" w:eastAsia="仿宋_GB2312" w:hAnsi="仿宋_GB2312" w:cs="仿宋_GB2312" w:hint="eastAsia"/>
          <w:sz w:val="32"/>
          <w:szCs w:val="32"/>
        </w:rPr>
        <w:t>类人员，需学习</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项内容及第</w:t>
      </w:r>
      <w:r>
        <w:rPr>
          <w:rFonts w:ascii="仿宋_GB2312" w:eastAsia="仿宋_GB2312" w:hAnsi="仿宋_GB2312" w:cs="仿宋_GB2312"/>
          <w:sz w:val="32"/>
          <w:szCs w:val="32"/>
        </w:rPr>
        <w:t>4</w:t>
      </w:r>
      <w:r>
        <w:rPr>
          <w:rFonts w:ascii="仿宋_GB2312" w:eastAsia="仿宋_GB2312" w:hAnsi="仿宋_GB2312" w:cs="仿宋_GB2312"/>
          <w:sz w:val="32"/>
          <w:szCs w:val="32"/>
        </w:rPr>
        <w:t>项</w:t>
      </w:r>
      <w:r>
        <w:rPr>
          <w:rFonts w:ascii="仿宋_GB2312" w:eastAsia="仿宋_GB2312" w:hAnsi="仿宋_GB2312" w:cs="仿宋_GB2312" w:hint="eastAsia"/>
          <w:sz w:val="32"/>
          <w:szCs w:val="32"/>
        </w:rPr>
        <w:t>中与所分管工作相关的各类专项安全知识。</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C</w:t>
      </w:r>
      <w:r>
        <w:rPr>
          <w:rFonts w:ascii="仿宋_GB2312" w:eastAsia="仿宋_GB2312" w:hAnsi="仿宋_GB2312" w:cs="仿宋_GB2312" w:hint="eastAsia"/>
          <w:sz w:val="32"/>
          <w:szCs w:val="32"/>
        </w:rPr>
        <w:t>类人员，需学习第</w:t>
      </w:r>
      <w:r>
        <w:rPr>
          <w:rFonts w:ascii="仿宋_GB2312" w:eastAsia="仿宋_GB2312" w:hAnsi="仿宋_GB2312" w:cs="仿宋_GB2312"/>
          <w:sz w:val="32"/>
          <w:szCs w:val="32"/>
        </w:rPr>
        <w:t>1-6</w:t>
      </w:r>
      <w:r>
        <w:rPr>
          <w:rFonts w:ascii="仿宋_GB2312" w:eastAsia="仿宋_GB2312" w:hAnsi="仿宋_GB2312" w:cs="仿宋_GB2312"/>
          <w:sz w:val="32"/>
          <w:szCs w:val="32"/>
        </w:rPr>
        <w:t>项内容</w:t>
      </w:r>
      <w:r>
        <w:rPr>
          <w:rFonts w:ascii="仿宋_GB2312" w:eastAsia="仿宋_GB2312" w:hAnsi="仿宋_GB2312" w:cs="仿宋_GB2312" w:hint="eastAsia"/>
          <w:sz w:val="32"/>
          <w:szCs w:val="32"/>
        </w:rPr>
        <w:t>。</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（二）培训方式</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类人员和</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类人员</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项培训内容，由设备与实验室管理处和保卫处负责，每年定期更新并上传至在“中山大学实验室安全考核系统”（</w:t>
      </w:r>
      <w:hyperlink r:id="rId9" w:history="1">
        <w:r>
          <w:rPr>
            <w:rStyle w:val="af"/>
            <w:rFonts w:ascii="仿宋_GB2312" w:eastAsia="仿宋_GB2312" w:hAnsi="仿宋_GB2312" w:cs="仿宋_GB2312"/>
            <w:sz w:val="32"/>
            <w:szCs w:val="32"/>
          </w:rPr>
          <w:t>http://labsafety.sysu.edu.cn/safetyexam/</w:t>
        </w:r>
      </w:hyperlink>
      <w:r>
        <w:rPr>
          <w:rFonts w:ascii="仿宋_GB2312" w:eastAsia="仿宋_GB2312" w:hAnsi="仿宋_GB2312" w:cs="仿宋_GB2312" w:hint="eastAsia"/>
          <w:sz w:val="32"/>
          <w:szCs w:val="32"/>
        </w:rPr>
        <w:t>）（以下简称“考核系统”）中的“在线学习”模块。参加培训人员可登录后学习；</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项培训内容，由各二级单位负责建设、每年定期更新，并组织本单位相关人员培训，方式由各二级单位自行确定。设备与实验室管理处实验室技术安全科的工作人员，如需学习第</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项中与所分管工作相关的各类专项安全知识，应联系并参与相关二级单位的培训，各二级单位应提供支持。</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项培训内容，由各实验室负责人负责建设、及时更新，并对进入本实验室的人员进行培训，方式由实验室负责人自行确定。</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2. </w:t>
      </w:r>
      <w:r>
        <w:rPr>
          <w:rFonts w:ascii="仿宋_GB2312" w:eastAsia="仿宋_GB2312" w:hAnsi="仿宋_GB2312" w:cs="仿宋_GB2312" w:hint="eastAsia"/>
          <w:sz w:val="32"/>
          <w:szCs w:val="32"/>
        </w:rPr>
        <w:t>对</w:t>
      </w:r>
      <w:r>
        <w:rPr>
          <w:rFonts w:ascii="仿宋_GB2312" w:eastAsia="仿宋_GB2312" w:hAnsi="仿宋_GB2312" w:cs="仿宋_GB2312"/>
          <w:sz w:val="32"/>
          <w:szCs w:val="32"/>
        </w:rPr>
        <w:t>C</w:t>
      </w:r>
      <w:r>
        <w:rPr>
          <w:rFonts w:ascii="仿宋_GB2312" w:eastAsia="仿宋_GB2312" w:hAnsi="仿宋_GB2312" w:cs="仿宋_GB2312"/>
          <w:sz w:val="32"/>
          <w:szCs w:val="32"/>
        </w:rPr>
        <w:t>类人员：</w:t>
      </w:r>
      <w:r>
        <w:rPr>
          <w:rFonts w:ascii="仿宋_GB2312" w:eastAsia="仿宋_GB2312" w:hAnsi="仿宋_GB2312" w:cs="仿宋_GB2312" w:hint="eastAsia"/>
          <w:sz w:val="32"/>
          <w:szCs w:val="32"/>
        </w:rPr>
        <w:t>由各实验室负责人负责对拟进入实验室开展实验活动的</w:t>
      </w:r>
      <w:r>
        <w:rPr>
          <w:rFonts w:ascii="仿宋_GB2312" w:eastAsia="仿宋_GB2312" w:hAnsi="仿宋_GB2312" w:cs="仿宋_GB2312"/>
          <w:sz w:val="32"/>
          <w:szCs w:val="32"/>
        </w:rPr>
        <w:t>C</w:t>
      </w:r>
      <w:r>
        <w:rPr>
          <w:rFonts w:ascii="仿宋_GB2312" w:eastAsia="仿宋_GB2312" w:hAnsi="仿宋_GB2312" w:cs="仿宋_GB2312"/>
          <w:sz w:val="32"/>
          <w:szCs w:val="32"/>
        </w:rPr>
        <w:t>类人员进行培训，培训内容</w:t>
      </w:r>
      <w:r>
        <w:rPr>
          <w:rFonts w:ascii="仿宋_GB2312" w:eastAsia="仿宋_GB2312" w:hAnsi="仿宋_GB2312" w:cs="仿宋_GB2312" w:hint="eastAsia"/>
          <w:sz w:val="32"/>
          <w:szCs w:val="32"/>
        </w:rPr>
        <w:t>应</w:t>
      </w:r>
      <w:r>
        <w:rPr>
          <w:rFonts w:ascii="仿宋_GB2312" w:eastAsia="仿宋_GB2312" w:hAnsi="仿宋_GB2312" w:cs="仿宋_GB2312"/>
          <w:sz w:val="32"/>
          <w:szCs w:val="32"/>
        </w:rPr>
        <w:t>涵盖</w:t>
      </w:r>
      <w:r>
        <w:rPr>
          <w:rFonts w:ascii="仿宋_GB2312" w:eastAsia="仿宋_GB2312" w:hAnsi="仿宋_GB2312" w:cs="仿宋_GB2312"/>
          <w:sz w:val="32"/>
          <w:szCs w:val="32"/>
        </w:rPr>
        <w:t>1-6</w:t>
      </w:r>
      <w:r>
        <w:rPr>
          <w:rFonts w:ascii="仿宋_GB2312" w:eastAsia="仿宋_GB2312" w:hAnsi="仿宋_GB2312" w:cs="仿宋_GB2312" w:hint="eastAsia"/>
          <w:sz w:val="32"/>
          <w:szCs w:val="32"/>
        </w:rPr>
        <w:t>项内容，重点为第</w:t>
      </w:r>
      <w:r>
        <w:rPr>
          <w:rFonts w:ascii="仿宋_GB2312" w:eastAsia="仿宋_GB2312" w:hAnsi="仿宋_GB2312" w:cs="仿宋_GB2312"/>
          <w:sz w:val="32"/>
          <w:szCs w:val="32"/>
        </w:rPr>
        <w:t>6</w:t>
      </w:r>
      <w:r>
        <w:rPr>
          <w:rFonts w:ascii="仿宋_GB2312" w:eastAsia="仿宋_GB2312" w:hAnsi="仿宋_GB2312" w:cs="仿宋_GB2312"/>
          <w:sz w:val="32"/>
          <w:szCs w:val="32"/>
        </w:rPr>
        <w:t>项内容。</w:t>
      </w:r>
    </w:p>
    <w:p w:rsidR="002152B1" w:rsidRDefault="00383A06">
      <w:pPr>
        <w:spacing w:line="360" w:lineRule="auto"/>
        <w:ind w:firstLineChars="200" w:firstLine="643"/>
        <w:rPr>
          <w:rFonts w:ascii="仿宋_GB2312" w:eastAsia="仿宋_GB2312" w:hAnsi="仿宋_GB2312" w:cs="仿宋_GB2312"/>
          <w:sz w:val="32"/>
          <w:szCs w:val="32"/>
        </w:rPr>
      </w:pPr>
      <w:r>
        <w:rPr>
          <w:rFonts w:ascii="仿宋_GB2312" w:eastAsia="仿宋_GB2312" w:hAnsi="微软雅黑" w:cs="微软雅黑" w:hint="eastAsia"/>
          <w:b/>
          <w:sz w:val="32"/>
          <w:szCs w:val="32"/>
        </w:rPr>
        <w:t>五</w:t>
      </w:r>
      <w:r>
        <w:rPr>
          <w:rFonts w:ascii="仿宋_GB2312" w:eastAsia="仿宋_GB2312" w:hAnsi="仿宋_GB2312" w:cs="仿宋_GB2312" w:hint="eastAsia"/>
          <w:b/>
          <w:sz w:val="32"/>
          <w:szCs w:val="32"/>
        </w:rPr>
        <w:t>、准入考核</w:t>
      </w:r>
    </w:p>
    <w:p w:rsidR="002152B1" w:rsidRDefault="00383A06">
      <w:pPr>
        <w:pStyle w:val="af1"/>
        <w:numPr>
          <w:ilvl w:val="0"/>
          <w:numId w:val="1"/>
        </w:numPr>
        <w:spacing w:line="360" w:lineRule="auto"/>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考核方式</w:t>
      </w:r>
    </w:p>
    <w:p w:rsidR="002152B1" w:rsidRDefault="00383A06">
      <w:pPr>
        <w:pStyle w:val="af1"/>
        <w:numPr>
          <w:ilvl w:val="0"/>
          <w:numId w:val="2"/>
        </w:numPr>
        <w:spacing w:line="360" w:lineRule="auto"/>
        <w:ind w:left="0" w:firstLineChars="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类和</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类人员</w:t>
      </w:r>
    </w:p>
    <w:p w:rsidR="002152B1" w:rsidRDefault="00383A06">
      <w:pPr>
        <w:pStyle w:val="af1"/>
        <w:spacing w:line="360" w:lineRule="auto"/>
        <w:ind w:left="640"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项培训内容的考核</w:t>
      </w:r>
    </w:p>
    <w:p w:rsidR="002152B1" w:rsidRDefault="00383A06">
      <w:pPr>
        <w:pStyle w:val="af1"/>
        <w:numPr>
          <w:ilvl w:val="0"/>
          <w:numId w:val="3"/>
        </w:numPr>
        <w:spacing w:line="360" w:lineRule="auto"/>
        <w:ind w:left="0" w:firstLineChars="0" w:firstLine="640"/>
        <w:jc w:val="left"/>
        <w:rPr>
          <w:rFonts w:ascii="仿宋_GB2312" w:hAnsi="仿宋_GB2312" w:cs="仿宋_GB2312"/>
          <w:sz w:val="32"/>
          <w:szCs w:val="32"/>
        </w:rPr>
      </w:pPr>
      <w:r>
        <w:rPr>
          <w:rFonts w:ascii="仿宋_GB2312" w:eastAsia="仿宋_GB2312" w:hAnsi="仿宋_GB2312" w:cs="仿宋_GB2312" w:hint="eastAsia"/>
          <w:sz w:val="32"/>
          <w:szCs w:val="32"/>
        </w:rPr>
        <w:t>采取网上考试的形式。所有人员使用学校实验室安全考试系统（以下简称“考试系统”）的“网上考试”模块考核。</w:t>
      </w:r>
    </w:p>
    <w:p w:rsidR="002152B1" w:rsidRDefault="00383A06">
      <w:pPr>
        <w:pStyle w:val="af1"/>
        <w:numPr>
          <w:ilvl w:val="0"/>
          <w:numId w:val="3"/>
        </w:numPr>
        <w:spacing w:line="360" w:lineRule="auto"/>
        <w:ind w:left="0" w:firstLineChars="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考题由基础考题和专业考题两部分组成。其中基础考题应涵盖第</w:t>
      </w:r>
      <w:r>
        <w:rPr>
          <w:rFonts w:ascii="仿宋_GB2312" w:eastAsia="仿宋_GB2312" w:hAnsi="仿宋_GB2312" w:cs="仿宋_GB2312"/>
          <w:sz w:val="32"/>
          <w:szCs w:val="32"/>
        </w:rPr>
        <w:t>1-3</w:t>
      </w:r>
      <w:r>
        <w:rPr>
          <w:rFonts w:ascii="仿宋_GB2312" w:eastAsia="仿宋_GB2312" w:hAnsi="仿宋_GB2312" w:cs="仿宋_GB2312"/>
          <w:sz w:val="32"/>
          <w:szCs w:val="32"/>
        </w:rPr>
        <w:t>项的内容，专业考题应涵盖第</w:t>
      </w:r>
      <w:r>
        <w:rPr>
          <w:rFonts w:ascii="仿宋_GB2312" w:eastAsia="仿宋_GB2312" w:hAnsi="仿宋_GB2312" w:cs="仿宋_GB2312"/>
          <w:sz w:val="32"/>
          <w:szCs w:val="32"/>
        </w:rPr>
        <w:t>4-5</w:t>
      </w:r>
      <w:r>
        <w:rPr>
          <w:rFonts w:ascii="仿宋_GB2312" w:eastAsia="仿宋_GB2312" w:hAnsi="仿宋_GB2312" w:cs="仿宋_GB2312"/>
          <w:sz w:val="32"/>
          <w:szCs w:val="32"/>
        </w:rPr>
        <w:t>项的内容。</w:t>
      </w:r>
    </w:p>
    <w:p w:rsidR="002152B1" w:rsidRDefault="00383A06">
      <w:pPr>
        <w:pStyle w:val="af1"/>
        <w:numPr>
          <w:ilvl w:val="0"/>
          <w:numId w:val="3"/>
        </w:numPr>
        <w:spacing w:line="360" w:lineRule="auto"/>
        <w:ind w:left="0" w:firstLineChars="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考试题型为选择题和判断题。</w:t>
      </w:r>
    </w:p>
    <w:p w:rsidR="002152B1" w:rsidRDefault="00383A06">
      <w:pPr>
        <w:pStyle w:val="af1"/>
        <w:numPr>
          <w:ilvl w:val="0"/>
          <w:numId w:val="3"/>
        </w:numPr>
        <w:spacing w:line="360" w:lineRule="auto"/>
        <w:ind w:left="0" w:firstLineChars="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考题由具体负责准入考核的单位按照以下的选题原则，由系统随机从考试系统的题库中抽取形成。满分</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分。其中：</w:t>
      </w:r>
    </w:p>
    <w:p w:rsidR="002152B1" w:rsidRDefault="00383A06">
      <w:pPr>
        <w:pStyle w:val="af1"/>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B-2</w:t>
      </w:r>
      <w:r>
        <w:rPr>
          <w:rFonts w:ascii="仿宋_GB2312" w:eastAsia="仿宋_GB2312" w:hAnsi="仿宋_GB2312" w:cs="仿宋_GB2312" w:hint="eastAsia"/>
          <w:sz w:val="32"/>
          <w:szCs w:val="32"/>
        </w:rPr>
        <w:t>类人员，基础考题</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题，专业考题</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题，每题</w:t>
      </w:r>
      <w:r>
        <w:rPr>
          <w:rFonts w:ascii="仿宋_GB2312" w:eastAsia="仿宋_GB2312" w:hAnsi="仿宋_GB2312" w:cs="仿宋_GB2312"/>
          <w:sz w:val="32"/>
          <w:szCs w:val="32"/>
        </w:rPr>
        <w:t>2</w:t>
      </w:r>
      <w:r>
        <w:rPr>
          <w:rFonts w:ascii="仿宋_GB2312" w:eastAsia="仿宋_GB2312" w:hAnsi="仿宋_GB2312" w:cs="仿宋_GB2312"/>
          <w:sz w:val="32"/>
          <w:szCs w:val="32"/>
        </w:rPr>
        <w:t>分，</w:t>
      </w:r>
      <w:r>
        <w:rPr>
          <w:rFonts w:ascii="仿宋_GB2312" w:eastAsia="仿宋_GB2312" w:hAnsi="仿宋_GB2312" w:cs="仿宋_GB2312"/>
          <w:sz w:val="32"/>
          <w:szCs w:val="32"/>
        </w:rPr>
        <w:t>60</w:t>
      </w:r>
      <w:r>
        <w:rPr>
          <w:rFonts w:ascii="仿宋_GB2312" w:eastAsia="仿宋_GB2312" w:hAnsi="仿宋_GB2312" w:cs="仿宋_GB2312" w:hint="eastAsia"/>
          <w:sz w:val="32"/>
          <w:szCs w:val="32"/>
        </w:rPr>
        <w:t>分钟内完成；</w:t>
      </w:r>
    </w:p>
    <w:p w:rsidR="002152B1" w:rsidRDefault="00383A06">
      <w:pPr>
        <w:pStyle w:val="af1"/>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类人员，基础考题</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题，专业考题</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题，每题</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分，</w:t>
      </w:r>
      <w:r>
        <w:rPr>
          <w:rFonts w:ascii="仿宋_GB2312" w:eastAsia="仿宋_GB2312" w:hAnsi="仿宋_GB2312" w:cs="仿宋_GB2312"/>
          <w:sz w:val="32"/>
          <w:szCs w:val="32"/>
        </w:rPr>
        <w:t>90</w:t>
      </w:r>
      <w:r>
        <w:rPr>
          <w:rFonts w:ascii="仿宋_GB2312" w:eastAsia="仿宋_GB2312" w:hAnsi="仿宋_GB2312" w:cs="仿宋_GB2312" w:hint="eastAsia"/>
          <w:sz w:val="32"/>
          <w:szCs w:val="32"/>
        </w:rPr>
        <w:t>分钟内完成；</w:t>
      </w:r>
    </w:p>
    <w:p w:rsidR="002152B1" w:rsidRDefault="00383A06">
      <w:pPr>
        <w:pStyle w:val="af1"/>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类、</w:t>
      </w:r>
      <w:r>
        <w:rPr>
          <w:rFonts w:ascii="仿宋_GB2312" w:eastAsia="仿宋_GB2312" w:hAnsi="仿宋_GB2312" w:cs="仿宋_GB2312" w:hint="eastAsia"/>
          <w:sz w:val="32"/>
          <w:szCs w:val="32"/>
        </w:rPr>
        <w:t>B-3</w:t>
      </w:r>
      <w:r>
        <w:rPr>
          <w:rFonts w:ascii="仿宋_GB2312" w:eastAsia="仿宋_GB2312" w:hAnsi="仿宋_GB2312" w:cs="仿宋_GB2312" w:hint="eastAsia"/>
          <w:sz w:val="32"/>
          <w:szCs w:val="32"/>
        </w:rPr>
        <w:t>类人员，</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题均为基础考题；</w:t>
      </w:r>
    </w:p>
    <w:p w:rsidR="002152B1" w:rsidRDefault="00383A06">
      <w:pPr>
        <w:pStyle w:val="af1"/>
        <w:numPr>
          <w:ilvl w:val="0"/>
          <w:numId w:val="3"/>
        </w:numPr>
        <w:spacing w:line="360" w:lineRule="auto"/>
        <w:ind w:left="0" w:firstLineChars="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达到</w:t>
      </w:r>
      <w:r>
        <w:rPr>
          <w:rFonts w:ascii="仿宋_GB2312" w:eastAsia="仿宋_GB2312" w:hAnsi="仿宋_GB2312" w:cs="仿宋_GB2312"/>
          <w:sz w:val="32"/>
          <w:szCs w:val="32"/>
        </w:rPr>
        <w:t>90</w:t>
      </w:r>
      <w:r>
        <w:rPr>
          <w:rFonts w:ascii="仿宋_GB2312" w:eastAsia="仿宋_GB2312" w:hAnsi="仿宋_GB2312" w:cs="仿宋_GB2312" w:hint="eastAsia"/>
          <w:sz w:val="32"/>
          <w:szCs w:val="32"/>
        </w:rPr>
        <w:t>分以上为合格；不限考试次数，在考核时间内达到合格即可。</w:t>
      </w:r>
    </w:p>
    <w:p w:rsidR="002152B1" w:rsidRDefault="00383A06">
      <w:pPr>
        <w:pStyle w:val="af1"/>
        <w:spacing w:line="360" w:lineRule="auto"/>
        <w:ind w:left="640"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）第</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项培训内容的考核</w:t>
      </w:r>
    </w:p>
    <w:p w:rsidR="002152B1" w:rsidRDefault="00383A06">
      <w:pPr>
        <w:pStyle w:val="af1"/>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由实验室负责人自行组织，可利用系统建立实验室的题库亦可采取线下考核的方式进行。</w:t>
      </w:r>
    </w:p>
    <w:p w:rsidR="002152B1" w:rsidRDefault="00383A06">
      <w:pPr>
        <w:pStyle w:val="af1"/>
        <w:numPr>
          <w:ilvl w:val="0"/>
          <w:numId w:val="2"/>
        </w:numPr>
        <w:spacing w:line="360" w:lineRule="auto"/>
        <w:ind w:left="0" w:firstLineChars="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类人员：</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由实验室负责人组织考核，可利用学校的考核系统或线下纸质试卷或口头面试的方式进行。</w:t>
      </w:r>
    </w:p>
    <w:p w:rsidR="002152B1" w:rsidRDefault="00383A06">
      <w:pPr>
        <w:pStyle w:val="af1"/>
        <w:numPr>
          <w:ilvl w:val="0"/>
          <w:numId w:val="1"/>
        </w:numPr>
        <w:spacing w:line="360" w:lineRule="auto"/>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考核时间</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B </w:t>
      </w:r>
      <w:r>
        <w:rPr>
          <w:rFonts w:ascii="仿宋_GB2312" w:eastAsia="仿宋_GB2312" w:hAnsi="仿宋_GB2312" w:cs="仿宋_GB2312" w:hint="eastAsia"/>
          <w:sz w:val="32"/>
          <w:szCs w:val="32"/>
        </w:rPr>
        <w:t>类人员，在其进入实验室前，均必须接受实验室准入培训和考</w:t>
      </w:r>
      <w:r>
        <w:rPr>
          <w:rFonts w:ascii="仿宋_GB2312" w:eastAsia="仿宋_GB2312" w:hAnsi="仿宋_GB2312" w:cs="仿宋_GB2312" w:hint="eastAsia"/>
          <w:sz w:val="32"/>
          <w:szCs w:val="32"/>
        </w:rPr>
        <w:lastRenderedPageBreak/>
        <w:t>核并获得《中山大学实验室安全考试合格证》：</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已入职教职工首次考核按本方案第七点的时间安排进行培训和考核；</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新入校教职工在办理入校手续</w:t>
      </w:r>
      <w:r>
        <w:rPr>
          <w:rFonts w:ascii="仿宋_GB2312" w:eastAsia="仿宋_GB2312" w:hAnsi="仿宋_GB2312" w:cs="仿宋_GB2312"/>
          <w:sz w:val="32"/>
          <w:szCs w:val="32"/>
        </w:rPr>
        <w:t>1</w:t>
      </w:r>
      <w:r>
        <w:rPr>
          <w:rFonts w:ascii="仿宋_GB2312" w:eastAsia="仿宋_GB2312" w:hAnsi="仿宋_GB2312" w:cs="仿宋_GB2312"/>
          <w:sz w:val="32"/>
          <w:szCs w:val="32"/>
        </w:rPr>
        <w:t>个月内完成首次培训和考核；</w:t>
      </w:r>
      <w:r>
        <w:rPr>
          <w:rFonts w:ascii="仿宋_GB2312" w:eastAsia="仿宋_GB2312" w:hAnsi="仿宋_GB2312" w:cs="仿宋_GB2312" w:hint="eastAsia"/>
          <w:sz w:val="32"/>
          <w:szCs w:val="32"/>
        </w:rPr>
        <w:t>本科和研究生新生于入学当年</w:t>
      </w:r>
      <w:r>
        <w:rPr>
          <w:rFonts w:ascii="仿宋_GB2312" w:eastAsia="仿宋_GB2312" w:hAnsi="仿宋_GB2312" w:cs="仿宋_GB2312"/>
          <w:sz w:val="32"/>
          <w:szCs w:val="32"/>
        </w:rPr>
        <w:t>12</w:t>
      </w:r>
      <w:r>
        <w:rPr>
          <w:rFonts w:ascii="仿宋_GB2312" w:eastAsia="仿宋_GB2312" w:hAnsi="仿宋_GB2312" w:cs="仿宋_GB2312"/>
          <w:sz w:val="32"/>
          <w:szCs w:val="32"/>
        </w:rPr>
        <w:t>月</w:t>
      </w:r>
      <w:r>
        <w:rPr>
          <w:rFonts w:ascii="仿宋_GB2312" w:eastAsia="仿宋_GB2312" w:hAnsi="仿宋_GB2312" w:cs="仿宋_GB2312"/>
          <w:sz w:val="32"/>
          <w:szCs w:val="32"/>
        </w:rPr>
        <w:t>31</w:t>
      </w:r>
      <w:r>
        <w:rPr>
          <w:rFonts w:ascii="仿宋_GB2312" w:eastAsia="仿宋_GB2312" w:hAnsi="仿宋_GB2312" w:cs="仿宋_GB2312"/>
          <w:sz w:val="32"/>
          <w:szCs w:val="32"/>
        </w:rPr>
        <w:t>日</w:t>
      </w:r>
      <w:r>
        <w:rPr>
          <w:rFonts w:ascii="仿宋_GB2312" w:eastAsia="仿宋_GB2312" w:hAnsi="仿宋_GB2312" w:cs="仿宋_GB2312" w:hint="eastAsia"/>
          <w:sz w:val="32"/>
          <w:szCs w:val="32"/>
        </w:rPr>
        <w:t>前完成培训和考核；</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后续，考核系统将在各相关人员《中山大学实验室安全考试合格证》到期前</w:t>
      </w:r>
      <w:r>
        <w:rPr>
          <w:rFonts w:ascii="仿宋_GB2312" w:eastAsia="仿宋_GB2312" w:hAnsi="仿宋_GB2312" w:cs="仿宋_GB2312"/>
          <w:sz w:val="32"/>
          <w:szCs w:val="32"/>
        </w:rPr>
        <w:t>2</w:t>
      </w:r>
      <w:r>
        <w:rPr>
          <w:rFonts w:ascii="仿宋_GB2312" w:eastAsia="仿宋_GB2312" w:hAnsi="仿宋_GB2312" w:cs="仿宋_GB2312"/>
          <w:sz w:val="32"/>
          <w:szCs w:val="32"/>
        </w:rPr>
        <w:t>个月自动提醒所在单位及本人，要求所在单位组织对其进行新一轮培训和考核。</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w:t>
      </w:r>
      <w:r>
        <w:rPr>
          <w:rFonts w:ascii="仿宋_GB2312" w:eastAsia="仿宋_GB2312" w:hAnsi="仿宋_GB2312" w:cs="仿宋_GB2312"/>
          <w:sz w:val="32"/>
          <w:szCs w:val="32"/>
        </w:rPr>
        <w:t>C</w:t>
      </w:r>
      <w:r>
        <w:rPr>
          <w:rFonts w:ascii="仿宋_GB2312" w:eastAsia="仿宋_GB2312" w:hAnsi="仿宋_GB2312" w:cs="仿宋_GB2312"/>
          <w:sz w:val="32"/>
          <w:szCs w:val="32"/>
        </w:rPr>
        <w:t>类人员：</w:t>
      </w:r>
      <w:r>
        <w:rPr>
          <w:rFonts w:ascii="仿宋_GB2312" w:eastAsia="仿宋_GB2312" w:hAnsi="仿宋_GB2312" w:cs="仿宋_GB2312" w:hint="eastAsia"/>
          <w:sz w:val="32"/>
          <w:szCs w:val="32"/>
        </w:rPr>
        <w:t>应接受实验室负责人的培训并获得《实验室准入许可证》后方可进入实验室进行实验活动。</w:t>
      </w:r>
    </w:p>
    <w:p w:rsidR="002152B1" w:rsidRDefault="00383A06">
      <w:pPr>
        <w:pStyle w:val="af1"/>
        <w:numPr>
          <w:ilvl w:val="0"/>
          <w:numId w:val="1"/>
        </w:numPr>
        <w:spacing w:line="360" w:lineRule="auto"/>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题库管理</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核系统的试题库分为基础题库和专业题库，两类题库可以根据需要设立不同的子题库。基础题库由设备与实验室管理处总体负责组织建设和更新维护，保卫处配合建设和维护消防和治安（安全防范）模块；专业题库由各二级单位组织建设和维护更新，各单位应根据学校、学院事业的发展和国家相关要求的变更每年定期更新。</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实验室的考核内容，各实验室应根据学校、学院的要求变化和本实验室实际情况的变更及时更新。</w:t>
      </w:r>
    </w:p>
    <w:p w:rsidR="002152B1" w:rsidRDefault="00383A06">
      <w:pPr>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六、准入考核结果及运用</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（一）通过考核系统考核的人员可从网上自行打印《中山大学实验室安全考试合格证》，有效期为</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需要进入实验室开</w:t>
      </w:r>
      <w:r>
        <w:rPr>
          <w:rFonts w:ascii="仿宋_GB2312" w:eastAsia="仿宋_GB2312" w:hAnsi="仿宋_GB2312" w:cs="仿宋_GB2312" w:hint="eastAsia"/>
          <w:sz w:val="32"/>
          <w:szCs w:val="32"/>
        </w:rPr>
        <w:t>展活动的</w:t>
      </w:r>
      <w:r>
        <w:rPr>
          <w:rFonts w:ascii="仿宋_GB2312" w:eastAsia="仿宋_GB2312" w:hAnsi="仿宋_GB2312" w:cs="仿宋_GB2312"/>
          <w:sz w:val="32"/>
          <w:szCs w:val="32"/>
        </w:rPr>
        <w:t>A-1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A-2 </w:t>
      </w:r>
      <w:r>
        <w:rPr>
          <w:rFonts w:ascii="仿宋_GB2312" w:eastAsia="仿宋_GB2312" w:hAnsi="仿宋_GB2312" w:cs="仿宋_GB2312" w:hint="eastAsia"/>
          <w:sz w:val="32"/>
          <w:szCs w:val="32"/>
        </w:rPr>
        <w:t>人员，各二级单位应敦促实验室负责人在其取得《中山大学实验室安全考试合格证》并完成第</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项培训考核后，确定其相应实验室的安全准入许可并签发《实验室安全准入许可书》（详见附件模版）。对于本实验室的</w:t>
      </w:r>
      <w:r>
        <w:rPr>
          <w:rFonts w:ascii="仿宋_GB2312" w:eastAsia="仿宋_GB2312" w:hAnsi="仿宋_GB2312" w:cs="仿宋_GB2312"/>
          <w:sz w:val="32"/>
          <w:szCs w:val="32"/>
        </w:rPr>
        <w:t>A-2</w:t>
      </w:r>
      <w:r>
        <w:rPr>
          <w:rFonts w:ascii="仿宋_GB2312" w:eastAsia="仿宋_GB2312" w:hAnsi="仿宋_GB2312" w:cs="仿宋_GB2312" w:hint="eastAsia"/>
          <w:sz w:val="32"/>
          <w:szCs w:val="32"/>
        </w:rPr>
        <w:t>类人员，实验室负责人应根据需要，对</w:t>
      </w:r>
      <w:r>
        <w:rPr>
          <w:rFonts w:ascii="仿宋_GB2312" w:eastAsia="仿宋_GB2312" w:hAnsi="仿宋_GB2312" w:cs="仿宋_GB2312" w:hint="eastAsia"/>
          <w:sz w:val="32"/>
          <w:szCs w:val="32"/>
        </w:rPr>
        <w:lastRenderedPageBreak/>
        <w:t>其实施定期或不定期的加强型培训。需要进入教学实验室接受实验培训的我校本科生和研究生，应在取得《中山大学实验室安全考试合格证》并完成第</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项培训后进入教学实验室。</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需要进入实验室开展活动的</w:t>
      </w:r>
      <w:r>
        <w:rPr>
          <w:rFonts w:ascii="仿宋_GB2312" w:eastAsia="仿宋_GB2312" w:hAnsi="仿宋_GB2312" w:cs="仿宋_GB2312"/>
          <w:sz w:val="32"/>
          <w:szCs w:val="32"/>
        </w:rPr>
        <w:t>C</w:t>
      </w:r>
      <w:r>
        <w:rPr>
          <w:rFonts w:ascii="仿宋_GB2312" w:eastAsia="仿宋_GB2312" w:hAnsi="仿宋_GB2312" w:cs="仿宋_GB2312" w:hint="eastAsia"/>
          <w:sz w:val="32"/>
          <w:szCs w:val="32"/>
        </w:rPr>
        <w:t>类人员，各实验室负责人对其完成</w:t>
      </w:r>
      <w:r>
        <w:rPr>
          <w:rFonts w:ascii="仿宋_GB2312" w:eastAsia="仿宋_GB2312" w:hAnsi="仿宋_GB2312" w:cs="仿宋_GB2312"/>
          <w:sz w:val="32"/>
          <w:szCs w:val="32"/>
        </w:rPr>
        <w:t>1-6</w:t>
      </w:r>
      <w:r>
        <w:rPr>
          <w:rFonts w:ascii="仿宋_GB2312" w:eastAsia="仿宋_GB2312" w:hAnsi="仿宋_GB2312" w:cs="仿宋_GB2312"/>
          <w:sz w:val="32"/>
          <w:szCs w:val="32"/>
        </w:rPr>
        <w:t>项安全培训及考核</w:t>
      </w:r>
      <w:r>
        <w:rPr>
          <w:rFonts w:ascii="仿宋_GB2312" w:eastAsia="仿宋_GB2312" w:hAnsi="仿宋_GB2312" w:cs="仿宋_GB2312" w:hint="eastAsia"/>
          <w:sz w:val="32"/>
          <w:szCs w:val="32"/>
        </w:rPr>
        <w:t>，并确定其已熟悉实验</w:t>
      </w:r>
      <w:r>
        <w:rPr>
          <w:rFonts w:ascii="仿宋_GB2312" w:eastAsia="仿宋_GB2312" w:hAnsi="仿宋_GB2312" w:cs="仿宋_GB2312" w:hint="eastAsia"/>
          <w:sz w:val="32"/>
          <w:szCs w:val="32"/>
        </w:rPr>
        <w:t>室安全管理规定、了解相关安全风险并掌握应急措施后，确定其相应实验室的安全准入许可并签发《实验室安全准入许可书》（详见附件模版）。</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参加准入培训和考核的人员，如因违反国家相关法规或学校、学院、实验室的相关规章制度或要求，造成重大实验室安全隐患或实验室安全事件（故），《中山大学实验室安全考试合格证》和《实验室安全准入许可书》一并作废，须重新参加培训和考核。</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（三）对于未完成考核人员的限制措施：</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 </w:t>
      </w:r>
      <w:r>
        <w:rPr>
          <w:rFonts w:ascii="仿宋_GB2312" w:eastAsia="仿宋_GB2312" w:hAnsi="仿宋_GB2312" w:cs="仿宋_GB2312" w:hint="eastAsia"/>
          <w:sz w:val="32"/>
          <w:szCs w:val="32"/>
        </w:rPr>
        <w:t>学校将限制其及其所在实验室负责人团队在“中山大学实验耗材采购平台”的采购资质。</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各二级单位应限制</w:t>
      </w:r>
      <w:r>
        <w:rPr>
          <w:rFonts w:ascii="仿宋_GB2312" w:eastAsia="仿宋_GB2312" w:hAnsi="仿宋_GB2312" w:cs="仿宋_GB2312" w:hint="eastAsia"/>
          <w:sz w:val="32"/>
          <w:szCs w:val="32"/>
        </w:rPr>
        <w:t>其进入实验室开展实验活动或管理活动。已在实验大楼或实验室设置门禁的二级单位，应关联停止门禁权限。</w:t>
      </w:r>
    </w:p>
    <w:p w:rsidR="002152B1" w:rsidRDefault="00383A0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设备与实验室管理处将在日常巡查及全校实验室安全大检查过程中加强对进入实验室人员完成准入培训和考核情况的核查。如实验室及所在二级单位未落实实验室安全准入制度，允许必须参加但未参加或未通过安全培训或安全培训考核不合格的人员进入实验室工作，一经发现，学校将依照《中山大学实验室安全事故责任追责实施细则（试行）》（简称“《细则》”）追究相关单位和实验室相关负责人员的安全隐患管理责任；如造成实验室安全事件（故），将视</w:t>
      </w:r>
      <w:r>
        <w:rPr>
          <w:rFonts w:ascii="仿宋_GB2312" w:eastAsia="仿宋_GB2312" w:hAnsi="仿宋_GB2312" w:cs="仿宋_GB2312" w:hint="eastAsia"/>
          <w:sz w:val="32"/>
          <w:szCs w:val="32"/>
        </w:rPr>
        <w:t>情节轻重，依《细则》追究相应的事件（故）的安全责任。对于校外人员，则同时提请校外人员人事关系所在单位依规追究其相应责任。</w:t>
      </w:r>
    </w:p>
    <w:p w:rsidR="002152B1" w:rsidRDefault="002152B1">
      <w:pPr>
        <w:spacing w:line="360" w:lineRule="auto"/>
        <w:rPr>
          <w:rFonts w:ascii="仿宋_GB2312" w:eastAsia="仿宋_GB2312" w:hAnsi="仿宋_GB2312" w:cs="仿宋_GB2312"/>
          <w:sz w:val="32"/>
          <w:szCs w:val="32"/>
        </w:rPr>
      </w:pPr>
    </w:p>
    <w:p w:rsidR="002152B1" w:rsidRDefault="00383A06">
      <w:pPr>
        <w:spacing w:line="360" w:lineRule="auto"/>
        <w:ind w:firstLineChars="200" w:firstLine="640"/>
        <w:rPr>
          <w:rFonts w:ascii="仿宋_GB2312" w:eastAsia="仿宋_GB2312" w:hAnsi="仿宋_GB2312" w:cs="仿宋_GB2312"/>
          <w:sz w:val="32"/>
          <w:szCs w:val="32"/>
        </w:rPr>
        <w:sectPr w:rsidR="002152B1">
          <w:pgSz w:w="11906" w:h="16838"/>
          <w:pgMar w:top="720" w:right="720" w:bottom="720" w:left="720" w:header="851" w:footer="992" w:gutter="0"/>
          <w:cols w:space="0"/>
          <w:docGrid w:type="lines" w:linePitch="317"/>
        </w:sect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实验室安全准入许可书（模板）</w:t>
      </w:r>
      <w:r>
        <w:rPr>
          <w:rFonts w:ascii="仿宋_GB2312" w:eastAsia="仿宋_GB2312" w:hAnsi="仿宋_GB2312" w:cs="仿宋_GB2312" w:hint="eastAsia"/>
          <w:sz w:val="32"/>
          <w:szCs w:val="32"/>
        </w:rPr>
        <w:t xml:space="preserve">  </w:t>
      </w:r>
    </w:p>
    <w:p w:rsidR="002152B1" w:rsidRDefault="00383A06">
      <w:pPr>
        <w:spacing w:line="360" w:lineRule="auto"/>
        <w:rPr>
          <w:rFonts w:ascii="仿宋_GB2312" w:eastAsia="仿宋_GB2312" w:hAnsi="黑体" w:cs="仿宋_GB2312"/>
          <w:sz w:val="32"/>
          <w:szCs w:val="32"/>
        </w:rPr>
      </w:pPr>
      <w:r>
        <w:rPr>
          <w:rFonts w:ascii="黑体" w:eastAsia="黑体" w:hAnsi="黑体" w:cs="仿宋_GB2312" w:hint="eastAsia"/>
          <w:b/>
          <w:sz w:val="32"/>
          <w:szCs w:val="32"/>
        </w:rPr>
        <w:lastRenderedPageBreak/>
        <w:t>附件</w:t>
      </w:r>
      <w:r>
        <w:rPr>
          <w:rFonts w:ascii="黑体" w:eastAsia="黑体" w:hAnsi="黑体" w:cs="仿宋_GB2312" w:hint="eastAsia"/>
          <w:b/>
          <w:sz w:val="32"/>
          <w:szCs w:val="32"/>
        </w:rPr>
        <w:t xml:space="preserve">                               </w:t>
      </w:r>
      <w:r>
        <w:rPr>
          <w:rFonts w:ascii="黑体" w:eastAsia="黑体" w:hAnsi="黑体" w:cs="仿宋_GB2312" w:hint="eastAsia"/>
          <w:b/>
          <w:sz w:val="32"/>
          <w:szCs w:val="32"/>
        </w:rPr>
        <w:t>实验室安全准入许可书</w:t>
      </w:r>
      <w:r>
        <w:rPr>
          <w:rFonts w:ascii="黑体" w:eastAsia="黑体" w:hAnsi="黑体" w:cs="仿宋_GB2312" w:hint="eastAsia"/>
          <w:b/>
          <w:sz w:val="32"/>
          <w:szCs w:val="32"/>
        </w:rPr>
        <w:t xml:space="preserve"> </w:t>
      </w:r>
      <w:r>
        <w:rPr>
          <w:rFonts w:ascii="黑体" w:eastAsia="黑体" w:hAnsi="黑体" w:cs="仿宋_GB2312"/>
          <w:b/>
          <w:sz w:val="32"/>
          <w:szCs w:val="32"/>
        </w:rPr>
        <w:t xml:space="preserve">                  </w:t>
      </w:r>
      <w:r>
        <w:rPr>
          <w:rFonts w:ascii="仿宋_GB2312" w:eastAsia="仿宋_GB2312" w:hAnsi="黑体" w:cs="仿宋_GB2312" w:hint="eastAsia"/>
          <w:sz w:val="32"/>
          <w:szCs w:val="32"/>
        </w:rPr>
        <w:t>编号：</w:t>
      </w:r>
    </w:p>
    <w:tbl>
      <w:tblPr>
        <w:tblStyle w:val="2"/>
        <w:tblpPr w:leftFromText="180" w:rightFromText="180" w:vertAnchor="text" w:horzAnchor="margin" w:tblpY="19"/>
        <w:tblOverlap w:val="never"/>
        <w:tblW w:w="0" w:type="auto"/>
        <w:tblLook w:val="04A0" w:firstRow="1" w:lastRow="0" w:firstColumn="1" w:lastColumn="0" w:noHBand="0" w:noVBand="1"/>
      </w:tblPr>
      <w:tblGrid>
        <w:gridCol w:w="1103"/>
        <w:gridCol w:w="1302"/>
        <w:gridCol w:w="1418"/>
        <w:gridCol w:w="113"/>
        <w:gridCol w:w="1701"/>
        <w:gridCol w:w="1729"/>
        <w:gridCol w:w="1490"/>
        <w:gridCol w:w="6255"/>
      </w:tblGrid>
      <w:tr w:rsidR="002152B1">
        <w:trPr>
          <w:trHeight w:val="1853"/>
        </w:trPr>
        <w:tc>
          <w:tcPr>
            <w:tcW w:w="1103" w:type="dxa"/>
            <w:vMerge w:val="restart"/>
            <w:vAlign w:val="center"/>
          </w:tcPr>
          <w:p w:rsidR="002152B1" w:rsidRDefault="00383A06">
            <w:pPr>
              <w:snapToGrid w:val="0"/>
              <w:spacing w:line="312" w:lineRule="auto"/>
              <w:jc w:val="center"/>
              <w:rPr>
                <w:rFonts w:ascii="仿宋_GB2312" w:eastAsia="仿宋_GB2312" w:hAnsi="仿宋_GB2312" w:cs="仿宋_GB2312"/>
                <w:sz w:val="28"/>
                <w:szCs w:val="28"/>
              </w:rPr>
            </w:pPr>
            <w:r>
              <w:rPr>
                <w:rFonts w:ascii="仿宋_GB2312" w:eastAsia="仿宋_GB2312" w:hAnsi="仿宋_GB2312" w:cs="仿宋_GB2312" w:hint="eastAsia"/>
                <w:sz w:val="24"/>
              </w:rPr>
              <w:t>申请人</w:t>
            </w:r>
          </w:p>
        </w:tc>
        <w:tc>
          <w:tcPr>
            <w:tcW w:w="1302" w:type="dxa"/>
            <w:vAlign w:val="center"/>
          </w:tcPr>
          <w:p w:rsidR="002152B1" w:rsidRDefault="00383A06">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531" w:type="dxa"/>
            <w:gridSpan w:val="2"/>
            <w:vAlign w:val="center"/>
          </w:tcPr>
          <w:p w:rsidR="002152B1" w:rsidRDefault="002152B1">
            <w:pPr>
              <w:snapToGrid w:val="0"/>
              <w:spacing w:line="312" w:lineRule="auto"/>
              <w:jc w:val="center"/>
              <w:rPr>
                <w:rFonts w:ascii="仿宋_GB2312" w:eastAsia="仿宋_GB2312" w:hAnsi="仿宋_GB2312" w:cs="仿宋_GB2312"/>
                <w:sz w:val="24"/>
              </w:rPr>
            </w:pPr>
          </w:p>
        </w:tc>
        <w:tc>
          <w:tcPr>
            <w:tcW w:w="1701" w:type="dxa"/>
            <w:vMerge w:val="restart"/>
            <w:vAlign w:val="center"/>
          </w:tcPr>
          <w:p w:rsidR="002152B1" w:rsidRDefault="00383A06">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所在单位及职称</w:t>
            </w:r>
            <w:r>
              <w:rPr>
                <w:rFonts w:ascii="仿宋_GB2312" w:eastAsia="仿宋_GB2312" w:hAnsi="仿宋_GB2312" w:cs="仿宋_GB2312" w:hint="eastAsia"/>
                <w:sz w:val="24"/>
              </w:rPr>
              <w:t>/</w:t>
            </w:r>
            <w:r>
              <w:rPr>
                <w:rFonts w:ascii="仿宋_GB2312" w:eastAsia="仿宋_GB2312" w:hAnsi="仿宋_GB2312" w:cs="仿宋_GB2312" w:hint="eastAsia"/>
                <w:sz w:val="24"/>
              </w:rPr>
              <w:t>职务</w:t>
            </w:r>
          </w:p>
          <w:p w:rsidR="002152B1" w:rsidRDefault="00383A06">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（如属于本校人员，请填至二级单位）</w:t>
            </w:r>
          </w:p>
        </w:tc>
        <w:tc>
          <w:tcPr>
            <w:tcW w:w="1729" w:type="dxa"/>
            <w:vMerge w:val="restart"/>
            <w:vAlign w:val="center"/>
          </w:tcPr>
          <w:p w:rsidR="002152B1" w:rsidRDefault="002152B1">
            <w:pPr>
              <w:snapToGrid w:val="0"/>
              <w:spacing w:line="312" w:lineRule="auto"/>
              <w:jc w:val="center"/>
              <w:rPr>
                <w:rFonts w:ascii="仿宋_GB2312" w:eastAsia="仿宋_GB2312" w:hAnsi="仿宋_GB2312" w:cs="仿宋_GB2312"/>
                <w:sz w:val="24"/>
              </w:rPr>
            </w:pPr>
          </w:p>
        </w:tc>
        <w:tc>
          <w:tcPr>
            <w:tcW w:w="1490" w:type="dxa"/>
            <w:vMerge w:val="restart"/>
            <w:vAlign w:val="center"/>
          </w:tcPr>
          <w:p w:rsidR="002152B1" w:rsidRDefault="00383A06">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申请人身份</w:t>
            </w:r>
          </w:p>
        </w:tc>
        <w:tc>
          <w:tcPr>
            <w:tcW w:w="6255" w:type="dxa"/>
            <w:vMerge w:val="restart"/>
            <w:vAlign w:val="center"/>
          </w:tcPr>
          <w:p w:rsidR="002152B1" w:rsidRDefault="00383A06">
            <w:pPr>
              <w:snapToGrid w:val="0"/>
              <w:spacing w:line="264" w:lineRule="auto"/>
              <w:ind w:left="1205" w:hangingChars="500" w:hanging="1205"/>
              <w:rPr>
                <w:rFonts w:ascii="仿宋_GB2312" w:eastAsia="仿宋_GB2312" w:hAnsi="仿宋_GB2312" w:cs="仿宋_GB2312"/>
                <w:b/>
                <w:sz w:val="24"/>
              </w:rPr>
            </w:pPr>
            <w:r>
              <w:rPr>
                <w:rFonts w:ascii="仿宋_GB2312" w:eastAsia="仿宋_GB2312" w:hAnsi="仿宋_GB2312" w:cs="仿宋_GB2312" w:hint="eastAsia"/>
                <w:b/>
                <w:sz w:val="24"/>
              </w:rPr>
              <w:t>校内人员：</w:t>
            </w:r>
          </w:p>
          <w:p w:rsidR="002152B1" w:rsidRDefault="00383A06">
            <w:pPr>
              <w:snapToGrid w:val="0"/>
              <w:spacing w:line="264" w:lineRule="auto"/>
              <w:ind w:leftChars="-18" w:left="-38" w:firstLineChars="15" w:firstLine="36"/>
              <w:rPr>
                <w:rFonts w:ascii="仿宋_GB2312" w:eastAsia="仿宋_GB2312" w:hAnsi="仿宋_GB2312" w:cs="仿宋_GB2312"/>
                <w:sz w:val="24"/>
              </w:rPr>
            </w:pPr>
            <w:r>
              <w:rPr>
                <w:rFonts w:ascii="仿宋_GB2312" w:eastAsia="仿宋_GB2312" w:hAnsi="仿宋_GB2312" w:cs="仿宋_GB2312" w:hint="eastAsia"/>
                <w:b/>
                <w:sz w:val="24"/>
              </w:rPr>
              <w:t>是否本实验室人员：</w:t>
            </w:r>
            <w:r>
              <w:rPr>
                <w:rFonts w:ascii="仿宋_GB2312" w:eastAsia="仿宋_GB2312" w:hAnsi="仿宋_GB2312" w:cs="仿宋_GB2312" w:hint="eastAsia"/>
                <w:b/>
                <w:sz w:val="24"/>
                <w:u w:val="single"/>
              </w:rPr>
              <w:t xml:space="preserve"> </w:t>
            </w:r>
            <w:r>
              <w:rPr>
                <w:rFonts w:ascii="仿宋_GB2312" w:eastAsia="仿宋_GB2312" w:hAnsi="仿宋_GB2312" w:cs="仿宋_GB2312"/>
                <w:b/>
                <w:sz w:val="24"/>
                <w:u w:val="single"/>
              </w:rPr>
              <w:t xml:space="preserve">       </w:t>
            </w:r>
            <w:r>
              <w:rPr>
                <w:rFonts w:ascii="仿宋_GB2312" w:eastAsia="仿宋_GB2312" w:hAnsi="仿宋_GB2312" w:cs="仿宋_GB2312" w:hint="eastAsia"/>
                <w:b/>
                <w:sz w:val="24"/>
              </w:rPr>
              <w:t>，是否已通过学习实验室安全准入考试：</w:t>
            </w:r>
            <w:r>
              <w:rPr>
                <w:rFonts w:ascii="仿宋_GB2312" w:eastAsia="仿宋_GB2312" w:hAnsi="仿宋_GB2312" w:cs="仿宋_GB2312" w:hint="eastAsia"/>
                <w:b/>
                <w:sz w:val="24"/>
                <w:u w:val="single"/>
              </w:rPr>
              <w:t xml:space="preserve"> </w:t>
            </w:r>
            <w:r>
              <w:rPr>
                <w:rFonts w:ascii="仿宋_GB2312" w:eastAsia="仿宋_GB2312" w:hAnsi="仿宋_GB2312" w:cs="仿宋_GB2312"/>
                <w:b/>
                <w:sz w:val="24"/>
                <w:u w:val="single"/>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具体身份是：</w:t>
            </w:r>
          </w:p>
          <w:p w:rsidR="002152B1" w:rsidRDefault="00383A06">
            <w:pPr>
              <w:snapToGrid w:val="0"/>
              <w:spacing w:line="264" w:lineRule="auto"/>
              <w:rPr>
                <w:rFonts w:ascii="仿宋_GB2312" w:eastAsia="仿宋_GB2312" w:hAnsi="仿宋_GB2312" w:cs="仿宋_GB2312"/>
                <w:sz w:val="24"/>
              </w:rPr>
            </w:pPr>
            <w:r>
              <w:rPr>
                <w:rFonts w:ascii="仿宋_GB2312" w:eastAsia="仿宋_GB2312" w:hAnsi="仿宋_GB2312" w:cs="仿宋_GB2312"/>
                <w:sz w:val="24"/>
              </w:rPr>
              <w:sym w:font="Wingdings 2" w:char="00A3"/>
            </w:r>
            <w:r>
              <w:rPr>
                <w:rFonts w:ascii="仿宋_GB2312" w:eastAsia="仿宋_GB2312" w:hAnsi="仿宋_GB2312" w:cs="仿宋_GB2312"/>
                <w:sz w:val="24"/>
              </w:rPr>
              <w:t xml:space="preserve"> </w:t>
            </w:r>
            <w:r>
              <w:rPr>
                <w:rFonts w:ascii="仿宋_GB2312" w:eastAsia="仿宋_GB2312" w:hAnsi="仿宋_GB2312" w:cs="仿宋_GB2312" w:hint="eastAsia"/>
                <w:sz w:val="24"/>
              </w:rPr>
              <w:t>本科生</w:t>
            </w:r>
            <w:r>
              <w:rPr>
                <w:rFonts w:ascii="仿宋_GB2312" w:eastAsia="仿宋_GB2312" w:hAnsi="仿宋_GB2312" w:cs="仿宋_GB2312"/>
                <w:sz w:val="24"/>
              </w:rPr>
              <w:t xml:space="preserve"> </w:t>
            </w:r>
            <w:r>
              <w:rPr>
                <w:rFonts w:ascii="Calibri" w:eastAsia="仿宋_GB2312" w:hAnsi="Calibri" w:cs="Calibri"/>
                <w:sz w:val="24"/>
              </w:rPr>
              <w:t xml:space="preserve"> </w:t>
            </w:r>
            <w:r>
              <w:rPr>
                <w:rFonts w:ascii="Calibri" w:eastAsia="仿宋_GB2312" w:hAnsi="Calibri" w:cs="Calibri"/>
                <w:sz w:val="24"/>
              </w:rPr>
              <w:sym w:font="Wingdings 2" w:char="00A3"/>
            </w:r>
            <w:r>
              <w:rPr>
                <w:rFonts w:ascii="仿宋_GB2312" w:eastAsia="仿宋_GB2312" w:hAnsi="仿宋_GB2312" w:cs="仿宋_GB2312"/>
                <w:sz w:val="24"/>
              </w:rPr>
              <w:t>硕士</w:t>
            </w:r>
            <w:r>
              <w:rPr>
                <w:rFonts w:ascii="仿宋_GB2312" w:eastAsia="仿宋_GB2312" w:hAnsi="仿宋_GB2312" w:cs="仿宋_GB2312" w:hint="eastAsia"/>
                <w:sz w:val="24"/>
              </w:rPr>
              <w:t>生</w:t>
            </w:r>
            <w:r>
              <w:rPr>
                <w:rFonts w:ascii="仿宋_GB2312" w:eastAsia="仿宋_GB2312" w:hAnsi="仿宋_GB2312" w:cs="仿宋_GB2312"/>
                <w:sz w:val="24"/>
              </w:rPr>
              <w:t xml:space="preserve">  </w:t>
            </w:r>
            <w:r>
              <w:rPr>
                <w:rFonts w:ascii="仿宋_GB2312" w:eastAsia="仿宋_GB2312" w:hAnsi="仿宋_GB2312" w:cs="仿宋_GB2312"/>
                <w:sz w:val="24"/>
              </w:rPr>
              <w:sym w:font="Wingdings 2" w:char="00A3"/>
            </w:r>
            <w:r>
              <w:rPr>
                <w:rFonts w:ascii="仿宋_GB2312" w:eastAsia="仿宋_GB2312" w:hAnsi="仿宋_GB2312" w:cs="仿宋_GB2312"/>
                <w:sz w:val="24"/>
              </w:rPr>
              <w:t xml:space="preserve"> </w:t>
            </w:r>
            <w:r>
              <w:rPr>
                <w:rFonts w:ascii="仿宋_GB2312" w:eastAsia="仿宋_GB2312" w:hAnsi="仿宋_GB2312" w:cs="仿宋_GB2312" w:hint="eastAsia"/>
                <w:sz w:val="24"/>
              </w:rPr>
              <w:t>博</w:t>
            </w:r>
            <w:r>
              <w:rPr>
                <w:rFonts w:ascii="仿宋_GB2312" w:eastAsia="仿宋_GB2312" w:hAnsi="仿宋_GB2312" w:cs="仿宋_GB2312"/>
                <w:sz w:val="24"/>
              </w:rPr>
              <w:t>士生</w:t>
            </w:r>
            <w:r>
              <w:rPr>
                <w:rFonts w:ascii="仿宋_GB2312" w:eastAsia="仿宋_GB2312" w:hAnsi="仿宋_GB2312" w:cs="仿宋_GB2312"/>
                <w:sz w:val="24"/>
              </w:rPr>
              <w:t xml:space="preserve">   </w:t>
            </w:r>
            <w:r>
              <w:rPr>
                <w:rFonts w:ascii="仿宋_GB2312" w:eastAsia="仿宋_GB2312" w:hAnsi="仿宋_GB2312" w:cs="仿宋_GB2312"/>
                <w:sz w:val="24"/>
              </w:rPr>
              <w:sym w:font="Wingdings 2" w:char="00A3"/>
            </w:r>
            <w:r>
              <w:rPr>
                <w:rFonts w:ascii="仿宋_GB2312" w:eastAsia="仿宋_GB2312" w:hAnsi="仿宋_GB2312" w:cs="仿宋_GB2312" w:hint="eastAsia"/>
                <w:sz w:val="24"/>
              </w:rPr>
              <w:t>博士后</w:t>
            </w:r>
          </w:p>
          <w:p w:rsidR="002152B1" w:rsidRDefault="00383A06">
            <w:pPr>
              <w:snapToGrid w:val="0"/>
              <w:spacing w:line="264" w:lineRule="auto"/>
              <w:rPr>
                <w:rFonts w:ascii="Calibri" w:eastAsia="仿宋_GB2312" w:hAnsi="Calibri" w:cs="Calibri"/>
                <w:sz w:val="24"/>
              </w:rPr>
            </w:pPr>
            <w:r>
              <w:rPr>
                <w:rFonts w:ascii="仿宋_GB2312" w:eastAsia="仿宋_GB2312" w:hAnsi="仿宋_GB2312" w:cs="仿宋_GB2312"/>
                <w:sz w:val="24"/>
              </w:rPr>
              <w:sym w:font="Wingdings 2" w:char="00A3"/>
            </w:r>
            <w:r>
              <w:rPr>
                <w:rFonts w:ascii="仿宋_GB2312" w:eastAsia="仿宋_GB2312" w:hAnsi="仿宋_GB2312" w:cs="仿宋_GB2312"/>
                <w:sz w:val="24"/>
              </w:rPr>
              <w:t xml:space="preserve"> </w:t>
            </w:r>
            <w:r>
              <w:rPr>
                <w:rFonts w:ascii="仿宋_GB2312" w:eastAsia="仿宋_GB2312" w:hAnsi="仿宋_GB2312" w:cs="仿宋_GB2312" w:hint="eastAsia"/>
                <w:sz w:val="24"/>
              </w:rPr>
              <w:t>教师</w:t>
            </w:r>
            <w:r>
              <w:rPr>
                <w:rFonts w:ascii="仿宋_GB2312" w:eastAsia="仿宋_GB2312" w:hAnsi="仿宋_GB2312" w:cs="仿宋_GB2312"/>
                <w:sz w:val="24"/>
              </w:rPr>
              <w:t xml:space="preserve">  </w:t>
            </w:r>
            <w:r>
              <w:rPr>
                <w:rFonts w:ascii="仿宋_GB2312" w:eastAsia="仿宋_GB2312" w:hAnsi="仿宋_GB2312" w:cs="仿宋_GB2312"/>
                <w:sz w:val="24"/>
              </w:rPr>
              <w:sym w:font="Wingdings 2" w:char="00A3"/>
            </w:r>
            <w:r>
              <w:rPr>
                <w:rFonts w:ascii="仿宋_GB2312" w:eastAsia="仿宋_GB2312" w:hAnsi="仿宋_GB2312" w:cs="仿宋_GB2312" w:hint="eastAsia"/>
                <w:sz w:val="24"/>
              </w:rPr>
              <w:t>实验、工程技术人员</w:t>
            </w:r>
            <w:r>
              <w:rPr>
                <w:rFonts w:ascii="仿宋_GB2312" w:eastAsia="仿宋_GB2312" w:hAnsi="仿宋_GB2312" w:cs="仿宋_GB2312"/>
                <w:sz w:val="24"/>
              </w:rPr>
              <w:t xml:space="preserve">  </w:t>
            </w:r>
            <w:r>
              <w:rPr>
                <w:rFonts w:ascii="Calibri" w:eastAsia="仿宋_GB2312" w:hAnsi="Calibri" w:cs="Calibri"/>
                <w:sz w:val="24"/>
              </w:rPr>
              <w:sym w:font="Wingdings 2" w:char="00A3"/>
            </w:r>
            <w:r>
              <w:rPr>
                <w:rFonts w:ascii="Calibri" w:eastAsia="仿宋_GB2312" w:hAnsi="Calibri" w:cs="Calibri" w:hint="eastAsia"/>
                <w:sz w:val="24"/>
              </w:rPr>
              <w:t>专职科研系列人员</w:t>
            </w:r>
          </w:p>
          <w:p w:rsidR="002152B1" w:rsidRDefault="00383A06">
            <w:pPr>
              <w:snapToGrid w:val="0"/>
              <w:spacing w:line="264" w:lineRule="auto"/>
              <w:rPr>
                <w:rFonts w:ascii="仿宋_GB2312" w:eastAsia="仿宋_GB2312" w:hAnsi="仿宋_GB2312" w:cs="仿宋_GB2312"/>
                <w:sz w:val="24"/>
              </w:rPr>
            </w:pPr>
            <w:r>
              <w:rPr>
                <w:rFonts w:ascii="仿宋_GB2312" w:eastAsia="仿宋_GB2312" w:hAnsi="仿宋_GB2312" w:cs="仿宋_GB2312" w:hint="eastAsia"/>
                <w:b/>
                <w:sz w:val="24"/>
              </w:rPr>
              <w:t>校外人员：</w:t>
            </w:r>
          </w:p>
          <w:p w:rsidR="002152B1" w:rsidRDefault="00383A06">
            <w:pPr>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进修</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研修</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合作</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p>
          <w:p w:rsidR="002152B1" w:rsidRDefault="00383A06">
            <w:pPr>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学业学习（如在读学生请注明在读学位）</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sz w:val="24"/>
              </w:rPr>
              <w:t xml:space="preserve"> </w:t>
            </w:r>
          </w:p>
          <w:p w:rsidR="002152B1" w:rsidRDefault="00383A06">
            <w:pPr>
              <w:snapToGrid w:val="0"/>
              <w:spacing w:line="264" w:lineRule="auto"/>
              <w:ind w:left="1200" w:hangingChars="500" w:hanging="1200"/>
              <w:rPr>
                <w:rFonts w:ascii="仿宋_GB2312" w:eastAsia="仿宋_GB2312" w:hAnsi="仿宋_GB2312" w:cs="仿宋_GB2312"/>
                <w:sz w:val="28"/>
                <w:szCs w:val="28"/>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其他（请说明）</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p>
        </w:tc>
      </w:tr>
      <w:tr w:rsidR="002152B1">
        <w:trPr>
          <w:trHeight w:val="1254"/>
        </w:trPr>
        <w:tc>
          <w:tcPr>
            <w:tcW w:w="1103" w:type="dxa"/>
            <w:vMerge/>
            <w:vAlign w:val="center"/>
          </w:tcPr>
          <w:p w:rsidR="002152B1" w:rsidRDefault="002152B1">
            <w:pPr>
              <w:snapToGrid w:val="0"/>
              <w:spacing w:line="312" w:lineRule="auto"/>
              <w:jc w:val="center"/>
              <w:rPr>
                <w:rFonts w:ascii="仿宋_GB2312" w:eastAsia="仿宋_GB2312" w:hAnsi="仿宋_GB2312" w:cs="仿宋_GB2312"/>
                <w:sz w:val="24"/>
              </w:rPr>
            </w:pPr>
          </w:p>
        </w:tc>
        <w:tc>
          <w:tcPr>
            <w:tcW w:w="1302" w:type="dxa"/>
            <w:vAlign w:val="center"/>
          </w:tcPr>
          <w:p w:rsidR="002152B1" w:rsidRDefault="00383A06">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手机</w:t>
            </w:r>
          </w:p>
        </w:tc>
        <w:tc>
          <w:tcPr>
            <w:tcW w:w="1531" w:type="dxa"/>
            <w:gridSpan w:val="2"/>
            <w:vAlign w:val="center"/>
          </w:tcPr>
          <w:p w:rsidR="002152B1" w:rsidRDefault="002152B1">
            <w:pPr>
              <w:snapToGrid w:val="0"/>
              <w:spacing w:line="312" w:lineRule="auto"/>
              <w:jc w:val="center"/>
              <w:rPr>
                <w:rFonts w:ascii="仿宋_GB2312" w:eastAsia="仿宋_GB2312" w:hAnsi="仿宋_GB2312" w:cs="仿宋_GB2312"/>
                <w:sz w:val="24"/>
              </w:rPr>
            </w:pPr>
          </w:p>
        </w:tc>
        <w:tc>
          <w:tcPr>
            <w:tcW w:w="1701" w:type="dxa"/>
            <w:vMerge/>
            <w:vAlign w:val="center"/>
          </w:tcPr>
          <w:p w:rsidR="002152B1" w:rsidRDefault="002152B1">
            <w:pPr>
              <w:snapToGrid w:val="0"/>
              <w:spacing w:line="312" w:lineRule="auto"/>
              <w:jc w:val="center"/>
              <w:rPr>
                <w:rFonts w:ascii="仿宋_GB2312" w:eastAsia="仿宋_GB2312" w:hAnsi="仿宋_GB2312" w:cs="仿宋_GB2312"/>
                <w:sz w:val="24"/>
              </w:rPr>
            </w:pPr>
          </w:p>
        </w:tc>
        <w:tc>
          <w:tcPr>
            <w:tcW w:w="1729" w:type="dxa"/>
            <w:vMerge/>
            <w:vAlign w:val="center"/>
          </w:tcPr>
          <w:p w:rsidR="002152B1" w:rsidRDefault="002152B1">
            <w:pPr>
              <w:snapToGrid w:val="0"/>
              <w:spacing w:line="312" w:lineRule="auto"/>
              <w:jc w:val="center"/>
              <w:rPr>
                <w:rFonts w:ascii="仿宋_GB2312" w:eastAsia="仿宋_GB2312" w:hAnsi="仿宋_GB2312" w:cs="仿宋_GB2312"/>
                <w:sz w:val="24"/>
              </w:rPr>
            </w:pPr>
          </w:p>
        </w:tc>
        <w:tc>
          <w:tcPr>
            <w:tcW w:w="1490" w:type="dxa"/>
            <w:vMerge/>
            <w:vAlign w:val="center"/>
          </w:tcPr>
          <w:p w:rsidR="002152B1" w:rsidRDefault="002152B1">
            <w:pPr>
              <w:snapToGrid w:val="0"/>
              <w:spacing w:line="312" w:lineRule="auto"/>
              <w:jc w:val="center"/>
              <w:rPr>
                <w:rFonts w:ascii="仿宋_GB2312" w:eastAsia="仿宋_GB2312" w:hAnsi="仿宋_GB2312" w:cs="仿宋_GB2312"/>
                <w:sz w:val="24"/>
              </w:rPr>
            </w:pPr>
          </w:p>
        </w:tc>
        <w:tc>
          <w:tcPr>
            <w:tcW w:w="6255" w:type="dxa"/>
            <w:vMerge/>
            <w:vAlign w:val="center"/>
          </w:tcPr>
          <w:p w:rsidR="002152B1" w:rsidRDefault="002152B1">
            <w:pPr>
              <w:snapToGrid w:val="0"/>
              <w:spacing w:line="312" w:lineRule="auto"/>
              <w:ind w:left="1205" w:hangingChars="500" w:hanging="1205"/>
              <w:rPr>
                <w:rFonts w:ascii="仿宋_GB2312" w:eastAsia="仿宋_GB2312" w:hAnsi="仿宋_GB2312" w:cs="仿宋_GB2312"/>
                <w:b/>
                <w:sz w:val="24"/>
              </w:rPr>
            </w:pPr>
          </w:p>
        </w:tc>
      </w:tr>
      <w:tr w:rsidR="002152B1">
        <w:trPr>
          <w:trHeight w:val="941"/>
        </w:trPr>
        <w:tc>
          <w:tcPr>
            <w:tcW w:w="2405" w:type="dxa"/>
            <w:gridSpan w:val="2"/>
            <w:vAlign w:val="center"/>
          </w:tcPr>
          <w:p w:rsidR="002152B1" w:rsidRDefault="00383A06">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拟进入的实验室</w:t>
            </w:r>
          </w:p>
        </w:tc>
        <w:tc>
          <w:tcPr>
            <w:tcW w:w="4961" w:type="dxa"/>
            <w:gridSpan w:val="4"/>
            <w:vAlign w:val="center"/>
          </w:tcPr>
          <w:p w:rsidR="002152B1" w:rsidRDefault="00383A06">
            <w:pPr>
              <w:snapToGrid w:val="0"/>
              <w:spacing w:line="312" w:lineRule="auto"/>
              <w:ind w:left="960" w:hangingChars="400" w:hanging="960"/>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（二级单位）</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校园（区）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楼宇</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房</w:t>
            </w:r>
          </w:p>
        </w:tc>
        <w:tc>
          <w:tcPr>
            <w:tcW w:w="1490" w:type="dxa"/>
            <w:vAlign w:val="center"/>
          </w:tcPr>
          <w:p w:rsidR="002152B1" w:rsidRDefault="00383A06">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拟开展的实验活动</w:t>
            </w:r>
          </w:p>
        </w:tc>
        <w:tc>
          <w:tcPr>
            <w:tcW w:w="6255" w:type="dxa"/>
            <w:vAlign w:val="center"/>
          </w:tcPr>
          <w:p w:rsidR="002152B1" w:rsidRDefault="002152B1">
            <w:pPr>
              <w:snapToGrid w:val="0"/>
              <w:spacing w:line="312" w:lineRule="auto"/>
              <w:ind w:left="1400" w:hangingChars="500" w:hanging="1400"/>
              <w:rPr>
                <w:rFonts w:ascii="仿宋_GB2312" w:eastAsia="仿宋_GB2312" w:hAnsi="仿宋_GB2312" w:cs="仿宋_GB2312"/>
                <w:sz w:val="28"/>
                <w:szCs w:val="28"/>
                <w:u w:val="single"/>
              </w:rPr>
            </w:pPr>
          </w:p>
        </w:tc>
      </w:tr>
      <w:tr w:rsidR="002152B1">
        <w:trPr>
          <w:trHeight w:val="699"/>
        </w:trPr>
        <w:tc>
          <w:tcPr>
            <w:tcW w:w="2405" w:type="dxa"/>
            <w:gridSpan w:val="2"/>
            <w:vAlign w:val="center"/>
          </w:tcPr>
          <w:p w:rsidR="002152B1" w:rsidRDefault="00383A06">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许可进入实验室开展实验活动期限</w:t>
            </w:r>
          </w:p>
        </w:tc>
        <w:tc>
          <w:tcPr>
            <w:tcW w:w="12706" w:type="dxa"/>
            <w:gridSpan w:val="6"/>
            <w:vAlign w:val="center"/>
          </w:tcPr>
          <w:p w:rsidR="002152B1" w:rsidRDefault="00383A06">
            <w:pPr>
              <w:snapToGrid w:val="0"/>
              <w:spacing w:line="312" w:lineRule="auto"/>
              <w:jc w:val="center"/>
              <w:rPr>
                <w:rFonts w:ascii="仿宋_GB2312" w:eastAsia="仿宋_GB2312" w:hAnsi="仿宋_GB2312" w:cs="仿宋_GB2312"/>
                <w:sz w:val="28"/>
                <w:szCs w:val="28"/>
              </w:rPr>
            </w:pP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日至</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c>
      </w:tr>
      <w:tr w:rsidR="002152B1">
        <w:trPr>
          <w:trHeight w:val="456"/>
        </w:trPr>
        <w:tc>
          <w:tcPr>
            <w:tcW w:w="2405" w:type="dxa"/>
            <w:gridSpan w:val="2"/>
            <w:vAlign w:val="center"/>
          </w:tcPr>
          <w:p w:rsidR="002152B1" w:rsidRDefault="00383A06">
            <w:pPr>
              <w:snapToGrid w:val="0"/>
              <w:spacing w:line="312" w:lineRule="auto"/>
              <w:jc w:val="center"/>
              <w:rPr>
                <w:rFonts w:ascii="仿宋_GB2312" w:eastAsia="仿宋_GB2312" w:hAnsi="仿宋_GB2312" w:cs="仿宋_GB2312"/>
                <w:sz w:val="28"/>
                <w:szCs w:val="28"/>
              </w:rPr>
            </w:pPr>
            <w:r>
              <w:rPr>
                <w:rFonts w:ascii="仿宋_GB2312" w:eastAsia="仿宋_GB2312" w:hAnsi="仿宋_GB2312" w:cs="仿宋_GB2312" w:hint="eastAsia"/>
                <w:sz w:val="24"/>
              </w:rPr>
              <w:t>实验室负责人</w:t>
            </w:r>
          </w:p>
        </w:tc>
        <w:tc>
          <w:tcPr>
            <w:tcW w:w="1418" w:type="dxa"/>
            <w:vAlign w:val="center"/>
          </w:tcPr>
          <w:p w:rsidR="002152B1" w:rsidRDefault="00383A06">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3543" w:type="dxa"/>
            <w:gridSpan w:val="3"/>
            <w:vAlign w:val="center"/>
          </w:tcPr>
          <w:p w:rsidR="002152B1" w:rsidRDefault="002152B1">
            <w:pPr>
              <w:snapToGrid w:val="0"/>
              <w:spacing w:line="312" w:lineRule="auto"/>
              <w:jc w:val="center"/>
              <w:rPr>
                <w:rFonts w:ascii="仿宋_GB2312" w:eastAsia="仿宋_GB2312" w:hAnsi="仿宋_GB2312" w:cs="仿宋_GB2312"/>
                <w:sz w:val="24"/>
              </w:rPr>
            </w:pPr>
          </w:p>
        </w:tc>
        <w:tc>
          <w:tcPr>
            <w:tcW w:w="1490" w:type="dxa"/>
            <w:vAlign w:val="center"/>
          </w:tcPr>
          <w:p w:rsidR="002152B1" w:rsidRDefault="00383A06">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手机</w:t>
            </w:r>
          </w:p>
        </w:tc>
        <w:tc>
          <w:tcPr>
            <w:tcW w:w="6255" w:type="dxa"/>
            <w:vAlign w:val="center"/>
          </w:tcPr>
          <w:p w:rsidR="002152B1" w:rsidRDefault="002152B1">
            <w:pPr>
              <w:snapToGrid w:val="0"/>
              <w:spacing w:line="312" w:lineRule="auto"/>
              <w:jc w:val="center"/>
              <w:rPr>
                <w:rFonts w:ascii="仿宋_GB2312" w:eastAsia="仿宋_GB2312" w:hAnsi="仿宋_GB2312" w:cs="仿宋_GB2312"/>
                <w:sz w:val="28"/>
                <w:szCs w:val="28"/>
              </w:rPr>
            </w:pPr>
          </w:p>
        </w:tc>
      </w:tr>
    </w:tbl>
    <w:p w:rsidR="002152B1" w:rsidRDefault="00383A06">
      <w:pPr>
        <w:snapToGrid w:val="0"/>
        <w:spacing w:line="360" w:lineRule="auto"/>
        <w:ind w:firstLineChars="100" w:firstLine="240"/>
        <w:rPr>
          <w:rFonts w:ascii="仿宋_GB2312" w:eastAsia="仿宋_GB2312" w:hAnsi="仿宋_GB2312" w:cs="仿宋_GB2312"/>
          <w:b/>
          <w:sz w:val="24"/>
        </w:rPr>
      </w:pPr>
      <w:r>
        <w:rPr>
          <w:rFonts w:ascii="仿宋_GB2312" w:eastAsia="仿宋_GB2312" w:hAnsi="仿宋_GB2312" w:cs="仿宋_GB2312"/>
          <w:bCs/>
          <w:noProof/>
          <w:sz w:val="24"/>
        </w:rPr>
        <mc:AlternateContent>
          <mc:Choice Requires="wps">
            <w:drawing>
              <wp:anchor distT="45720" distB="45720" distL="114300" distR="114300" simplePos="0" relativeHeight="251682816" behindDoc="0" locked="0" layoutInCell="1" allowOverlap="1">
                <wp:simplePos x="0" y="0"/>
                <wp:positionH relativeFrom="column">
                  <wp:posOffset>66675</wp:posOffset>
                </wp:positionH>
                <wp:positionV relativeFrom="margin">
                  <wp:posOffset>4000500</wp:posOffset>
                </wp:positionV>
                <wp:extent cx="4953000" cy="1990725"/>
                <wp:effectExtent l="4445" t="4445" r="14605" b="508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990725"/>
                        </a:xfrm>
                        <a:prstGeom prst="rect">
                          <a:avLst/>
                        </a:prstGeom>
                        <a:solidFill>
                          <a:srgbClr val="FFFFFF"/>
                        </a:solidFill>
                        <a:ln w="9525">
                          <a:solidFill>
                            <a:srgbClr val="FFFFFF"/>
                          </a:solidFill>
                          <a:miter lim="800000"/>
                        </a:ln>
                      </wps:spPr>
                      <wps:txbx>
                        <w:txbxContent>
                          <w:p w:rsidR="002152B1" w:rsidRDefault="00383A06">
                            <w:pPr>
                              <w:snapToGrid w:val="0"/>
                              <w:spacing w:line="360" w:lineRule="auto"/>
                              <w:ind w:firstLineChars="1000" w:firstLine="2409"/>
                              <w:rPr>
                                <w:rFonts w:ascii="仿宋_GB2312" w:eastAsia="仿宋_GB2312" w:hAnsi="仿宋_GB2312" w:cs="仿宋_GB2312"/>
                                <w:b/>
                                <w:sz w:val="24"/>
                              </w:rPr>
                            </w:pPr>
                            <w:r>
                              <w:rPr>
                                <w:rFonts w:ascii="仿宋_GB2312" w:eastAsia="仿宋_GB2312" w:hAnsi="仿宋_GB2312" w:cs="仿宋_GB2312" w:hint="eastAsia"/>
                                <w:b/>
                                <w:sz w:val="24"/>
                              </w:rPr>
                              <w:t>申请人承诺</w:t>
                            </w:r>
                          </w:p>
                          <w:p w:rsidR="002152B1" w:rsidRDefault="00383A06">
                            <w:pPr>
                              <w:snapToGrid w:val="0"/>
                              <w:spacing w:line="264"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接受实验室负责人的实验室安全培训，知晓进入实验室可能涉及的安全风险并已掌握必要的安全防护知识和风险防控措施。本人将严格遵守实验室的相关规定和工作要求，接受学校、学院和实验室负责人的安全监管。如因本人违规或工作失误造成实验室安全事件（故），愿意按照《中山大学实验室安全责任追究实施细则》规定承担相关责任。</w:t>
                            </w:r>
                          </w:p>
                          <w:p w:rsidR="002152B1" w:rsidRDefault="002152B1">
                            <w:pPr>
                              <w:snapToGrid w:val="0"/>
                              <w:spacing w:line="264" w:lineRule="auto"/>
                              <w:ind w:firstLineChars="200" w:firstLine="480"/>
                              <w:rPr>
                                <w:rFonts w:ascii="仿宋_GB2312" w:eastAsia="仿宋_GB2312" w:hAnsi="仿宋_GB2312" w:cs="仿宋_GB2312"/>
                                <w:sz w:val="24"/>
                              </w:rPr>
                            </w:pPr>
                          </w:p>
                          <w:p w:rsidR="002152B1" w:rsidRDefault="00383A06">
                            <w:pPr>
                              <w:snapToGrid w:val="0"/>
                              <w:spacing w:line="264" w:lineRule="auto"/>
                            </w:pPr>
                            <w:r>
                              <w:rPr>
                                <w:rFonts w:ascii="仿宋_GB2312" w:eastAsia="仿宋_GB2312" w:hAnsi="仿宋_GB2312" w:cs="仿宋_GB2312" w:hint="eastAsia"/>
                                <w:sz w:val="24"/>
                              </w:rPr>
                              <w:t>申请人（签字）：</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3" o:spid="_x0000_s1026" o:spt="202" type="#_x0000_t202" style="position:absolute;left:0pt;margin-left:5.25pt;margin-top:315pt;height:156.75pt;width:390pt;mso-position-vertical-relative:margin;mso-wrap-distance-bottom:3.6pt;mso-wrap-distance-top:3.6pt;z-index:251682816;mso-width-relative:page;mso-height-relative:page;" fillcolor="#FFFFFF" filled="t" stroked="t" coordsize="21600,21600" o:gfxdata="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26LTYAAAACgEAAA8AAAAAAAAA&#10;AQAgAAAAIgAAAGRycy9kb3ducmV2LnhtbFBLAQIUABQAAAAIAIdO4kDdO1DIEQIAADkEAAAOAAAA&#10;AAAAAAEAIAAAACcBAABkcnMvZTJvRG9jLnhtbFBLBQYAAAAABgAGAFkBAACqBQAAAAA=&#10;">
                <v:fill on="t" focussize="0,0"/>
                <v:stroke color="#FFFFFF" miterlimit="8" joinstyle="miter"/>
                <v:imagedata o:title=""/>
                <o:lock v:ext="edit" aspectratio="f"/>
                <v:textbox>
                  <w:txbxContent>
                    <w:p>
                      <w:pPr>
                        <w:snapToGrid w:val="0"/>
                        <w:spacing w:line="360" w:lineRule="auto"/>
                        <w:ind w:firstLine="2409" w:firstLineChars="1000"/>
                        <w:rPr>
                          <w:rFonts w:ascii="仿宋_GB2312" w:hAnsi="仿宋_GB2312" w:eastAsia="仿宋_GB2312" w:cs="仿宋_GB2312"/>
                          <w:b/>
                          <w:sz w:val="24"/>
                        </w:rPr>
                      </w:pPr>
                      <w:r>
                        <w:rPr>
                          <w:rFonts w:hint="eastAsia" w:ascii="仿宋_GB2312" w:hAnsi="仿宋_GB2312" w:eastAsia="仿宋_GB2312" w:cs="仿宋_GB2312"/>
                          <w:b/>
                          <w:sz w:val="24"/>
                        </w:rPr>
                        <w:t>申请人承诺</w:t>
                      </w:r>
                    </w:p>
                    <w:p>
                      <w:pPr>
                        <w:snapToGrid w:val="0"/>
                        <w:spacing w:line="264"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人已接受实验室负责人的实验室安全培训，知晓进入实验室可能涉及的安全风险并已掌握必要的安全防护知识和风险防控措施。本人将严格遵守实验室的相关规定和工作要求，接受学校、学院和实验室负责人的安全监管。如因本人违规或工作失误造成实验室安全事件（故），愿意按照《中山大学实验室安全责任追究实施细则》规定承担相关责任。</w:t>
                      </w:r>
                    </w:p>
                    <w:p>
                      <w:pPr>
                        <w:snapToGrid w:val="0"/>
                        <w:spacing w:line="264" w:lineRule="auto"/>
                        <w:ind w:firstLine="480" w:firstLineChars="200"/>
                        <w:rPr>
                          <w:rFonts w:ascii="仿宋_GB2312" w:hAnsi="仿宋_GB2312" w:eastAsia="仿宋_GB2312" w:cs="仿宋_GB2312"/>
                          <w:sz w:val="24"/>
                        </w:rPr>
                      </w:pPr>
                    </w:p>
                    <w:p>
                      <w:pPr>
                        <w:snapToGrid w:val="0"/>
                        <w:spacing w:line="264" w:lineRule="auto"/>
                      </w:pPr>
                      <w:r>
                        <w:rPr>
                          <w:rFonts w:hint="eastAsia" w:ascii="仿宋_GB2312" w:hAnsi="仿宋_GB2312" w:eastAsia="仿宋_GB2312" w:cs="仿宋_GB2312"/>
                          <w:sz w:val="24"/>
                        </w:rPr>
                        <w:t xml:space="preserve">申请人（签字）：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p>
                  </w:txbxContent>
                </v:textbox>
                <w10:wrap type="topAndBottom"/>
              </v:shape>
            </w:pict>
          </mc:Fallback>
        </mc:AlternateContent>
      </w:r>
      <w:r>
        <w:rPr>
          <w:noProof/>
          <w:sz w:val="24"/>
        </w:rPr>
        <mc:AlternateContent>
          <mc:Choice Requires="wps">
            <w:drawing>
              <wp:anchor distT="0" distB="0" distL="114300" distR="114300" simplePos="0" relativeHeight="251675648" behindDoc="0" locked="0" layoutInCell="1" allowOverlap="1">
                <wp:simplePos x="0" y="0"/>
                <wp:positionH relativeFrom="column">
                  <wp:posOffset>1531620</wp:posOffset>
                </wp:positionH>
                <wp:positionV relativeFrom="paragraph">
                  <wp:posOffset>2487295</wp:posOffset>
                </wp:positionV>
                <wp:extent cx="571500" cy="0"/>
                <wp:effectExtent l="0" t="0" r="0" b="0"/>
                <wp:wrapNone/>
                <wp:docPr id="1" name="直接连接符 1"/>
                <wp:cNvGraphicFramePr/>
                <a:graphic xmlns:a="http://schemas.openxmlformats.org/drawingml/2006/main">
                  <a:graphicData uri="http://schemas.microsoft.com/office/word/2010/wordprocessingShape">
                    <wps:wsp>
                      <wps:cNvCnPr/>
                      <wps:spPr>
                        <a:xfrm flipH="1">
                          <a:off x="0" y="0"/>
                          <a:ext cx="571500" cy="0"/>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x;margin-left:120.6pt;margin-top:195.85pt;height:0pt;width:45pt;z-index:251675648;mso-width-relative:page;mso-height-relative:page;" filled="f" stroked="t" coordsize="21600,21600" o:gfxdata="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63rnbNYAAAALAQAADwAA&#10;AAAAAAABACAAAAAiAAAAZHJzL2Rvd25yZXYueG1sUEsBAhQAFAAAAAgAh07iQLPPyNzfAQAAjgMA&#10;AA4AAAAAAAAAAQAgAAAAJQEAAGRycy9lMm9Eb2MueG1sUEsFBgAAAAAGAAYAWQEAAHYFAAAAAA==&#10;">
                <v:fill on="f" focussize="0,0"/>
                <v:stroke weight="0.5pt" color="#000000 [3200]" miterlimit="8" joinstyle="miter"/>
                <v:imagedata o:title=""/>
                <o:lock v:ext="edit" aspectratio="f"/>
              </v:line>
            </w:pict>
          </mc:Fallback>
        </mc:AlternateContent>
      </w:r>
      <w:r>
        <w:rPr>
          <w:rFonts w:ascii="仿宋_GB2312" w:eastAsia="仿宋_GB2312" w:hAnsi="仿宋_GB2312" w:cs="仿宋_GB2312" w:hint="eastAsia"/>
          <w:b/>
          <w:sz w:val="24"/>
        </w:rPr>
        <w:t>说明：《实验室安全准入许可书》一式两份，分别由实验室负责人、实验人员各执</w:t>
      </w:r>
      <w:r>
        <w:rPr>
          <w:rFonts w:ascii="仿宋_GB2312" w:eastAsia="仿宋_GB2312" w:hAnsi="仿宋_GB2312" w:cs="仿宋_GB2312"/>
          <w:bCs/>
          <w:noProof/>
          <w:sz w:val="24"/>
        </w:rPr>
        <mc:AlternateContent>
          <mc:Choice Requires="wps">
            <w:drawing>
              <wp:anchor distT="45720" distB="45720" distL="114300" distR="114300" simplePos="0" relativeHeight="251692032" behindDoc="0" locked="0" layoutInCell="1" allowOverlap="1">
                <wp:simplePos x="0" y="0"/>
                <wp:positionH relativeFrom="column">
                  <wp:posOffset>5238750</wp:posOffset>
                </wp:positionH>
                <wp:positionV relativeFrom="page">
                  <wp:posOffset>4448175</wp:posOffset>
                </wp:positionV>
                <wp:extent cx="4343400" cy="1876425"/>
                <wp:effectExtent l="4445" t="4445" r="14605" b="5080"/>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76425"/>
                        </a:xfrm>
                        <a:prstGeom prst="rect">
                          <a:avLst/>
                        </a:prstGeom>
                        <a:solidFill>
                          <a:srgbClr val="FFFFFF"/>
                        </a:solidFill>
                        <a:ln w="9525">
                          <a:solidFill>
                            <a:srgbClr val="FFFFFF"/>
                          </a:solidFill>
                          <a:miter lim="800000"/>
                        </a:ln>
                      </wps:spPr>
                      <wps:txbx>
                        <w:txbxContent>
                          <w:p w:rsidR="002152B1" w:rsidRDefault="00383A06">
                            <w:pPr>
                              <w:snapToGrid w:val="0"/>
                              <w:spacing w:line="360" w:lineRule="auto"/>
                              <w:ind w:firstLineChars="1000" w:firstLine="2409"/>
                              <w:rPr>
                                <w:rFonts w:ascii="仿宋_GB2312" w:eastAsia="仿宋_GB2312" w:hAnsi="仿宋_GB2312" w:cs="仿宋_GB2312"/>
                                <w:b/>
                                <w:sz w:val="24"/>
                              </w:rPr>
                            </w:pPr>
                            <w:r>
                              <w:rPr>
                                <w:rFonts w:ascii="仿宋_GB2312" w:eastAsia="仿宋_GB2312" w:hAnsi="仿宋_GB2312" w:cs="仿宋_GB2312" w:hint="eastAsia"/>
                                <w:b/>
                                <w:sz w:val="24"/>
                              </w:rPr>
                              <w:t>实验室负责人意见</w:t>
                            </w:r>
                          </w:p>
                          <w:p w:rsidR="002152B1" w:rsidRDefault="00383A06">
                            <w:pPr>
                              <w:snapToGrid w:val="0"/>
                              <w:spacing w:line="312"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本人已对申请人进行实验室安全教育培训和考核，并根据本实验室和实验危险程度，进行必要的安全知识和风险告知，同意其进入申请实验室开展相关实验活动。</w:t>
                            </w:r>
                          </w:p>
                          <w:p w:rsidR="002152B1" w:rsidRDefault="002152B1">
                            <w:pPr>
                              <w:snapToGrid w:val="0"/>
                              <w:spacing w:line="264" w:lineRule="auto"/>
                              <w:ind w:firstLineChars="200" w:firstLine="480"/>
                              <w:rPr>
                                <w:rFonts w:ascii="仿宋_GB2312" w:eastAsia="仿宋_GB2312" w:hAnsi="仿宋_GB2312" w:cs="仿宋_GB2312"/>
                                <w:sz w:val="24"/>
                              </w:rPr>
                            </w:pPr>
                          </w:p>
                          <w:p w:rsidR="002152B1" w:rsidRDefault="002152B1">
                            <w:pPr>
                              <w:snapToGrid w:val="0"/>
                              <w:spacing w:line="264" w:lineRule="auto"/>
                              <w:ind w:firstLineChars="200" w:firstLine="480"/>
                              <w:rPr>
                                <w:rFonts w:ascii="仿宋_GB2312" w:eastAsia="仿宋_GB2312" w:hAnsi="仿宋_GB2312" w:cs="仿宋_GB2312"/>
                                <w:sz w:val="24"/>
                              </w:rPr>
                            </w:pPr>
                          </w:p>
                          <w:p w:rsidR="002152B1" w:rsidRDefault="00383A06">
                            <w:pPr>
                              <w:snapToGrid w:val="0"/>
                              <w:spacing w:line="264" w:lineRule="auto"/>
                            </w:pPr>
                            <w:r>
                              <w:rPr>
                                <w:rFonts w:ascii="仿宋_GB2312" w:eastAsia="仿宋_GB2312" w:hAnsi="仿宋_GB2312" w:cs="仿宋_GB2312" w:hint="eastAsia"/>
                                <w:sz w:val="24"/>
                              </w:rPr>
                              <w:t>实验室负责人（签字）：</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 o:spid="_x0000_s1026" o:spt="202" type="#_x0000_t202" style="position:absolute;left:0pt;margin-left:412.5pt;margin-top:350.25pt;height:147.75pt;width:342pt;mso-position-vertical-relative:page;mso-wrap-distance-bottom:3.6pt;mso-wrap-distance-left:9pt;mso-wrap-distance-right:9pt;mso-wrap-distance-top:3.6pt;z-index:251692032;mso-width-relative:page;mso-height-relative:page;" fillcolor="#FFFFFF" filled="t" stroked="t" coordsize="21600,21600" o:gfxdata="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cFxqm&#10;2gAAAAwBAAAPAAAAAAAAAAEAIAAAACIAAABkcnMvZG93bnJldi54bWxQSwECFAAUAAAACACHTuJA&#10;1Od34x8CAAA6BAAADgAAAAAAAAABACAAAAApAQAAZHJzL2Uyb0RvYy54bWxQSwUGAAAAAAYABgBZ&#10;AQAAugUAAAAA&#10;">
                <v:fill on="t" focussize="0,0"/>
                <v:stroke color="#FFFFFF" miterlimit="8" joinstyle="miter"/>
                <v:imagedata o:title=""/>
                <o:lock v:ext="edit" aspectratio="f"/>
                <v:textbox>
                  <w:txbxContent>
                    <w:p>
                      <w:pPr>
                        <w:snapToGrid w:val="0"/>
                        <w:spacing w:line="360" w:lineRule="auto"/>
                        <w:ind w:firstLine="2409" w:firstLineChars="1000"/>
                        <w:rPr>
                          <w:rFonts w:ascii="仿宋_GB2312" w:hAnsi="仿宋_GB2312" w:eastAsia="仿宋_GB2312" w:cs="仿宋_GB2312"/>
                          <w:b/>
                          <w:sz w:val="24"/>
                        </w:rPr>
                      </w:pPr>
                      <w:r>
                        <w:rPr>
                          <w:rFonts w:hint="eastAsia" w:ascii="仿宋_GB2312" w:hAnsi="仿宋_GB2312" w:eastAsia="仿宋_GB2312" w:cs="仿宋_GB2312"/>
                          <w:b/>
                          <w:sz w:val="24"/>
                        </w:rPr>
                        <w:t>实验室负责人意见</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本人已对申请人进行实验室安全教育培训和考核，并根据本实验室和实验危险程度，进行必要的安全知识和风险告知，同意其进入申请实验室开展相关实验活动。</w:t>
                      </w:r>
                    </w:p>
                    <w:p>
                      <w:pPr>
                        <w:snapToGrid w:val="0"/>
                        <w:spacing w:line="264" w:lineRule="auto"/>
                        <w:ind w:firstLine="480" w:firstLineChars="200"/>
                        <w:rPr>
                          <w:rFonts w:ascii="仿宋_GB2312" w:hAnsi="仿宋_GB2312" w:eastAsia="仿宋_GB2312" w:cs="仿宋_GB2312"/>
                          <w:sz w:val="24"/>
                        </w:rPr>
                      </w:pPr>
                    </w:p>
                    <w:p>
                      <w:pPr>
                        <w:snapToGrid w:val="0"/>
                        <w:spacing w:line="264" w:lineRule="auto"/>
                        <w:ind w:firstLine="480" w:firstLineChars="200"/>
                        <w:rPr>
                          <w:rFonts w:ascii="仿宋_GB2312" w:hAnsi="仿宋_GB2312" w:eastAsia="仿宋_GB2312" w:cs="仿宋_GB2312"/>
                          <w:sz w:val="24"/>
                        </w:rPr>
                      </w:pPr>
                    </w:p>
                    <w:p>
                      <w:pPr>
                        <w:snapToGrid w:val="0"/>
                        <w:spacing w:line="264" w:lineRule="auto"/>
                      </w:pPr>
                      <w:r>
                        <w:rPr>
                          <w:rFonts w:hint="eastAsia" w:ascii="仿宋_GB2312" w:hAnsi="仿宋_GB2312" w:eastAsia="仿宋_GB2312" w:cs="仿宋_GB2312"/>
                          <w:sz w:val="24"/>
                        </w:rPr>
                        <w:t xml:space="preserve">实验室负责人（签字）：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p>
                  </w:txbxContent>
                </v:textbox>
                <w10:wrap type="square"/>
              </v:shape>
            </w:pict>
          </mc:Fallback>
        </mc:AlternateContent>
      </w:r>
      <w:r>
        <w:rPr>
          <w:rFonts w:ascii="仿宋_GB2312" w:eastAsia="仿宋_GB2312" w:hAnsi="仿宋_GB2312" w:cs="仿宋_GB2312" w:hint="eastAsia"/>
          <w:b/>
          <w:sz w:val="24"/>
        </w:rPr>
        <w:t>一份，实验室存档备查。</w:t>
      </w:r>
    </w:p>
    <w:p w:rsidR="002152B1" w:rsidRDefault="00383A06">
      <w:pPr>
        <w:spacing w:line="360" w:lineRule="auto"/>
        <w:rPr>
          <w:rFonts w:ascii="仿宋_GB2312" w:eastAsia="仿宋_GB2312" w:hAnsi="仿宋_GB2312" w:cs="仿宋_GB2312"/>
          <w:b/>
          <w:sz w:val="24"/>
        </w:rPr>
      </w:pPr>
      <w:r>
        <w:rPr>
          <w:rFonts w:ascii="仿宋_GB2312" w:eastAsia="仿宋_GB2312" w:hAnsi="仿宋_GB2312" w:cs="仿宋_GB2312"/>
          <w:b/>
          <w:noProof/>
          <w:sz w:val="24"/>
        </w:rPr>
        <mc:AlternateContent>
          <mc:Choice Requires="wps">
            <w:drawing>
              <wp:anchor distT="45720" distB="45720" distL="114300" distR="114300" simplePos="0" relativeHeight="251664384" behindDoc="0" locked="0" layoutInCell="1" allowOverlap="1">
                <wp:simplePos x="0" y="0"/>
                <wp:positionH relativeFrom="column">
                  <wp:posOffset>66675</wp:posOffset>
                </wp:positionH>
                <wp:positionV relativeFrom="margin">
                  <wp:posOffset>4000500</wp:posOffset>
                </wp:positionV>
                <wp:extent cx="4953000" cy="1990725"/>
                <wp:effectExtent l="9525" t="9525" r="9525" b="952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990725"/>
                        </a:xfrm>
                        <a:prstGeom prst="rect">
                          <a:avLst/>
                        </a:prstGeom>
                        <a:solidFill>
                          <a:srgbClr val="FFFFFF"/>
                        </a:solidFill>
                        <a:ln w="9525">
                          <a:solidFill>
                            <a:srgbClr val="FFFFFF"/>
                          </a:solidFill>
                          <a:miter lim="800000"/>
                        </a:ln>
                      </wps:spPr>
                      <wps:txbx>
                        <w:txbxContent>
                          <w:p w:rsidR="002152B1" w:rsidRDefault="002152B1">
                            <w:pPr>
                              <w:snapToGrid w:val="0"/>
                              <w:spacing w:line="264" w:lineRule="auto"/>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3" o:spid="_x0000_s1026" o:spt="202" type="#_x0000_t202" style="position:absolute;left:0pt;margin-left:5.25pt;margin-top:315pt;height:156.75pt;width:390pt;mso-position-vertical-relative:margin;mso-wrap-distance-bottom:3.6pt;mso-wrap-distance-top:3.6pt;z-index:251664384;mso-width-relative:page;mso-height-relative:page;" fillcolor="#FFFFFF" filled="t" stroked="t" coordsize="21600,21600" o:gfxdata="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26LTYAAAACgEAAA8AAAAAAAAA&#10;AQAgAAAAIgAAAGRycy9kb3ducmV2LnhtbFBLAQIUABQAAAAIAIdO4kDfOwH3EQIAADkEAAAOAAAA&#10;AAAAAAEAIAAAACcBAABkcnMvZTJvRG9jLnhtbFBLBQYAAAAABgAGAFkBAACqBQAAAAA=&#10;">
                <v:fill on="t" focussize="0,0"/>
                <v:stroke color="#FFFFFF" miterlimit="8" joinstyle="miter"/>
                <v:imagedata o:title=""/>
                <o:lock v:ext="edit" aspectratio="f"/>
                <v:textbox>
                  <w:txbxContent>
                    <w:p>
                      <w:pPr>
                        <w:snapToGrid w:val="0"/>
                        <w:spacing w:line="264" w:lineRule="auto"/>
                      </w:pPr>
                    </w:p>
                  </w:txbxContent>
                </v:textbox>
                <w10:wrap type="topAndBottom"/>
              </v:shape>
            </w:pict>
          </mc:Fallback>
        </mc:AlternateContent>
      </w:r>
    </w:p>
    <w:sectPr w:rsidR="002152B1">
      <w:pgSz w:w="16838" w:h="11906" w:orient="landscape"/>
      <w:pgMar w:top="720" w:right="720" w:bottom="720" w:left="720" w:header="851" w:footer="992" w:gutter="0"/>
      <w:cols w:space="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A06" w:rsidRDefault="00383A06" w:rsidP="0036443B">
      <w:r>
        <w:separator/>
      </w:r>
    </w:p>
  </w:endnote>
  <w:endnote w:type="continuationSeparator" w:id="0">
    <w:p w:rsidR="00383A06" w:rsidRDefault="00383A06" w:rsidP="0036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A06" w:rsidRDefault="00383A06" w:rsidP="0036443B">
      <w:r>
        <w:separator/>
      </w:r>
    </w:p>
  </w:footnote>
  <w:footnote w:type="continuationSeparator" w:id="0">
    <w:p w:rsidR="00383A06" w:rsidRDefault="00383A06" w:rsidP="00364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944"/>
    <w:multiLevelType w:val="multilevel"/>
    <w:tmpl w:val="000C7944"/>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1" w15:restartNumberingAfterBreak="0">
    <w:nsid w:val="17942E6F"/>
    <w:multiLevelType w:val="multilevel"/>
    <w:tmpl w:val="17942E6F"/>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5B756E34"/>
    <w:multiLevelType w:val="multilevel"/>
    <w:tmpl w:val="5B756E34"/>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9"/>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2331E9"/>
    <w:rsid w:val="00000D85"/>
    <w:rsid w:val="00010E83"/>
    <w:rsid w:val="000174D2"/>
    <w:rsid w:val="000276B7"/>
    <w:rsid w:val="00031186"/>
    <w:rsid w:val="00036B3D"/>
    <w:rsid w:val="00041AF7"/>
    <w:rsid w:val="000421F3"/>
    <w:rsid w:val="00070774"/>
    <w:rsid w:val="00085948"/>
    <w:rsid w:val="00091727"/>
    <w:rsid w:val="00095427"/>
    <w:rsid w:val="000A76BA"/>
    <w:rsid w:val="000B13A7"/>
    <w:rsid w:val="000B36D8"/>
    <w:rsid w:val="000B63F1"/>
    <w:rsid w:val="000C75D7"/>
    <w:rsid w:val="000D000A"/>
    <w:rsid w:val="000D6519"/>
    <w:rsid w:val="000E1BA3"/>
    <w:rsid w:val="000E3F6B"/>
    <w:rsid w:val="00116305"/>
    <w:rsid w:val="00123166"/>
    <w:rsid w:val="001458C2"/>
    <w:rsid w:val="001463CF"/>
    <w:rsid w:val="001467B1"/>
    <w:rsid w:val="00164933"/>
    <w:rsid w:val="00190155"/>
    <w:rsid w:val="001A121E"/>
    <w:rsid w:val="001A3FC8"/>
    <w:rsid w:val="001A453E"/>
    <w:rsid w:val="001B3906"/>
    <w:rsid w:val="001C143F"/>
    <w:rsid w:val="001C3C37"/>
    <w:rsid w:val="001E02B8"/>
    <w:rsid w:val="001E1581"/>
    <w:rsid w:val="001E520D"/>
    <w:rsid w:val="002152B1"/>
    <w:rsid w:val="00223F7B"/>
    <w:rsid w:val="00242F0C"/>
    <w:rsid w:val="002442B9"/>
    <w:rsid w:val="002503F9"/>
    <w:rsid w:val="00253D8C"/>
    <w:rsid w:val="00256E1F"/>
    <w:rsid w:val="00290022"/>
    <w:rsid w:val="00292710"/>
    <w:rsid w:val="0029386A"/>
    <w:rsid w:val="002965E1"/>
    <w:rsid w:val="002A0AED"/>
    <w:rsid w:val="002D44F5"/>
    <w:rsid w:val="002F6F4B"/>
    <w:rsid w:val="003275BA"/>
    <w:rsid w:val="003624C6"/>
    <w:rsid w:val="0036443B"/>
    <w:rsid w:val="003712B9"/>
    <w:rsid w:val="00380F0C"/>
    <w:rsid w:val="00383A06"/>
    <w:rsid w:val="00383B69"/>
    <w:rsid w:val="00386704"/>
    <w:rsid w:val="00393D49"/>
    <w:rsid w:val="003958D5"/>
    <w:rsid w:val="00397865"/>
    <w:rsid w:val="003A0503"/>
    <w:rsid w:val="003A6862"/>
    <w:rsid w:val="003A775F"/>
    <w:rsid w:val="003B709D"/>
    <w:rsid w:val="003F0362"/>
    <w:rsid w:val="003F4228"/>
    <w:rsid w:val="003F5068"/>
    <w:rsid w:val="0041083E"/>
    <w:rsid w:val="004128BE"/>
    <w:rsid w:val="00421BA6"/>
    <w:rsid w:val="00423A3C"/>
    <w:rsid w:val="00426D6F"/>
    <w:rsid w:val="004416BB"/>
    <w:rsid w:val="00455776"/>
    <w:rsid w:val="004678A6"/>
    <w:rsid w:val="00473E29"/>
    <w:rsid w:val="00475D3F"/>
    <w:rsid w:val="004849C7"/>
    <w:rsid w:val="004A092C"/>
    <w:rsid w:val="004B56AE"/>
    <w:rsid w:val="004C28E2"/>
    <w:rsid w:val="004E018A"/>
    <w:rsid w:val="004E519C"/>
    <w:rsid w:val="004F1305"/>
    <w:rsid w:val="005034CB"/>
    <w:rsid w:val="005057B5"/>
    <w:rsid w:val="005079D1"/>
    <w:rsid w:val="00515D6E"/>
    <w:rsid w:val="0053272F"/>
    <w:rsid w:val="00533121"/>
    <w:rsid w:val="0056723A"/>
    <w:rsid w:val="00582FBC"/>
    <w:rsid w:val="00594B49"/>
    <w:rsid w:val="005A63D3"/>
    <w:rsid w:val="005B0852"/>
    <w:rsid w:val="005D65D6"/>
    <w:rsid w:val="005D7759"/>
    <w:rsid w:val="005E50EA"/>
    <w:rsid w:val="006111A0"/>
    <w:rsid w:val="00612FF9"/>
    <w:rsid w:val="006130DB"/>
    <w:rsid w:val="00617CF2"/>
    <w:rsid w:val="006307E0"/>
    <w:rsid w:val="00634460"/>
    <w:rsid w:val="00636436"/>
    <w:rsid w:val="006418D7"/>
    <w:rsid w:val="00643060"/>
    <w:rsid w:val="00643FE7"/>
    <w:rsid w:val="00655184"/>
    <w:rsid w:val="006555C5"/>
    <w:rsid w:val="00666274"/>
    <w:rsid w:val="0067111D"/>
    <w:rsid w:val="00672E33"/>
    <w:rsid w:val="0069432A"/>
    <w:rsid w:val="00694448"/>
    <w:rsid w:val="00695C95"/>
    <w:rsid w:val="006B393C"/>
    <w:rsid w:val="006D4233"/>
    <w:rsid w:val="006F4245"/>
    <w:rsid w:val="00710948"/>
    <w:rsid w:val="00742522"/>
    <w:rsid w:val="00771FAB"/>
    <w:rsid w:val="00781B72"/>
    <w:rsid w:val="007C3D05"/>
    <w:rsid w:val="007E7F3D"/>
    <w:rsid w:val="0081057D"/>
    <w:rsid w:val="008106DE"/>
    <w:rsid w:val="008210CB"/>
    <w:rsid w:val="00836011"/>
    <w:rsid w:val="00840238"/>
    <w:rsid w:val="008451DB"/>
    <w:rsid w:val="0084764E"/>
    <w:rsid w:val="008548DF"/>
    <w:rsid w:val="00855A3F"/>
    <w:rsid w:val="0086136D"/>
    <w:rsid w:val="008A197A"/>
    <w:rsid w:val="008B3493"/>
    <w:rsid w:val="0090115F"/>
    <w:rsid w:val="00930AF9"/>
    <w:rsid w:val="009347AE"/>
    <w:rsid w:val="00936315"/>
    <w:rsid w:val="00953467"/>
    <w:rsid w:val="009606D2"/>
    <w:rsid w:val="00A14BDA"/>
    <w:rsid w:val="00A22887"/>
    <w:rsid w:val="00A41EBE"/>
    <w:rsid w:val="00A422EB"/>
    <w:rsid w:val="00A42FBE"/>
    <w:rsid w:val="00A4661B"/>
    <w:rsid w:val="00A73D8B"/>
    <w:rsid w:val="00A74139"/>
    <w:rsid w:val="00A9032E"/>
    <w:rsid w:val="00AC5DCA"/>
    <w:rsid w:val="00AC68F7"/>
    <w:rsid w:val="00AC7712"/>
    <w:rsid w:val="00AD3146"/>
    <w:rsid w:val="00AE79F1"/>
    <w:rsid w:val="00AF41CE"/>
    <w:rsid w:val="00AF5B5C"/>
    <w:rsid w:val="00B1673E"/>
    <w:rsid w:val="00B20FC9"/>
    <w:rsid w:val="00B3132E"/>
    <w:rsid w:val="00B35E11"/>
    <w:rsid w:val="00B36816"/>
    <w:rsid w:val="00B50C5A"/>
    <w:rsid w:val="00B50EC1"/>
    <w:rsid w:val="00B7743E"/>
    <w:rsid w:val="00B77D2C"/>
    <w:rsid w:val="00B87F6C"/>
    <w:rsid w:val="00BB4D2F"/>
    <w:rsid w:val="00BD48E7"/>
    <w:rsid w:val="00BD4E37"/>
    <w:rsid w:val="00BD6993"/>
    <w:rsid w:val="00C01930"/>
    <w:rsid w:val="00C029A2"/>
    <w:rsid w:val="00C669C4"/>
    <w:rsid w:val="00C714EB"/>
    <w:rsid w:val="00C84531"/>
    <w:rsid w:val="00C92E78"/>
    <w:rsid w:val="00CA0CF9"/>
    <w:rsid w:val="00CB0661"/>
    <w:rsid w:val="00CD2C45"/>
    <w:rsid w:val="00CD55CF"/>
    <w:rsid w:val="00CE1C28"/>
    <w:rsid w:val="00D04C78"/>
    <w:rsid w:val="00D11AF1"/>
    <w:rsid w:val="00D22F6D"/>
    <w:rsid w:val="00D77CC2"/>
    <w:rsid w:val="00DA3B25"/>
    <w:rsid w:val="00DE09B2"/>
    <w:rsid w:val="00DE31B5"/>
    <w:rsid w:val="00DE5407"/>
    <w:rsid w:val="00DF6F78"/>
    <w:rsid w:val="00E13CBA"/>
    <w:rsid w:val="00E36D23"/>
    <w:rsid w:val="00E4378F"/>
    <w:rsid w:val="00E463F9"/>
    <w:rsid w:val="00E527F8"/>
    <w:rsid w:val="00E577DB"/>
    <w:rsid w:val="00E94AE2"/>
    <w:rsid w:val="00EA1086"/>
    <w:rsid w:val="00EE5306"/>
    <w:rsid w:val="00EF725C"/>
    <w:rsid w:val="00F15A45"/>
    <w:rsid w:val="00F3276C"/>
    <w:rsid w:val="00F32A3E"/>
    <w:rsid w:val="00F379ED"/>
    <w:rsid w:val="00F4075C"/>
    <w:rsid w:val="00F475A0"/>
    <w:rsid w:val="00F50D37"/>
    <w:rsid w:val="00F619C4"/>
    <w:rsid w:val="00F83629"/>
    <w:rsid w:val="00F85C41"/>
    <w:rsid w:val="00F9426C"/>
    <w:rsid w:val="00FA3A74"/>
    <w:rsid w:val="00FA4052"/>
    <w:rsid w:val="00FB5200"/>
    <w:rsid w:val="00FD27B8"/>
    <w:rsid w:val="00FD7E9B"/>
    <w:rsid w:val="00FF6371"/>
    <w:rsid w:val="115A45AB"/>
    <w:rsid w:val="13193AF7"/>
    <w:rsid w:val="2C4E1158"/>
    <w:rsid w:val="2FD22346"/>
    <w:rsid w:val="32E102BD"/>
    <w:rsid w:val="3EC27D02"/>
    <w:rsid w:val="41E43AD7"/>
    <w:rsid w:val="46E16DA1"/>
    <w:rsid w:val="470E086A"/>
    <w:rsid w:val="489A0D8C"/>
    <w:rsid w:val="48E81534"/>
    <w:rsid w:val="4AA1230D"/>
    <w:rsid w:val="4E0F3D77"/>
    <w:rsid w:val="55825ADF"/>
    <w:rsid w:val="59315803"/>
    <w:rsid w:val="5A37608D"/>
    <w:rsid w:val="5EC52495"/>
    <w:rsid w:val="6D4C0433"/>
    <w:rsid w:val="6DB674FE"/>
    <w:rsid w:val="6EAC7FC1"/>
    <w:rsid w:val="6F2405BD"/>
    <w:rsid w:val="6F2E0C67"/>
    <w:rsid w:val="73557D7B"/>
    <w:rsid w:val="7B233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9406C2D-C06C-4B43-87A4-F352794E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3"/>
    <w:next w:val="a3"/>
    <w:link w:val="ad"/>
    <w:qFormat/>
    <w:rPr>
      <w:b/>
      <w:bCs/>
    </w:rPr>
  </w:style>
  <w:style w:type="table" w:styleId="ae">
    <w:name w:val="Table Grid"/>
    <w:basedOn w:val="a1"/>
    <w:unhideWhenUsed/>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qFormat/>
    <w:rPr>
      <w:color w:val="0563C1" w:themeColor="hyperlink"/>
      <w:u w:val="single"/>
    </w:rPr>
  </w:style>
  <w:style w:type="character" w:styleId="af0">
    <w:name w:val="annotation reference"/>
    <w:basedOn w:val="a0"/>
    <w:qFormat/>
    <w:rPr>
      <w:sz w:val="21"/>
      <w:szCs w:val="21"/>
    </w:rPr>
  </w:style>
  <w:style w:type="paragraph" w:styleId="af1">
    <w:name w:val="List Paragraph"/>
    <w:basedOn w:val="a"/>
    <w:uiPriority w:val="99"/>
    <w:qFormat/>
    <w:pPr>
      <w:ind w:firstLineChars="200" w:firstLine="420"/>
    </w:p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table" w:customStyle="1" w:styleId="1">
    <w:name w:val="网格型1"/>
    <w:basedOn w:val="a1"/>
    <w:unhideWhenUsed/>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unhideWhenUsed/>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labsafety.sysu.edu.cn/safetyexa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280E22-C869-4193-991E-8F5D005C5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Gaolei</cp:lastModifiedBy>
  <cp:revision>2</cp:revision>
  <dcterms:created xsi:type="dcterms:W3CDTF">2020-06-09T06:58:00Z</dcterms:created>
  <dcterms:modified xsi:type="dcterms:W3CDTF">2020-06-09T06:58:00Z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